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46F13">
      <w:pPr>
        <w:spacing w:line="360" w:lineRule="auto"/>
        <w:rPr>
          <w:sz w:val="24"/>
        </w:rPr>
      </w:pPr>
      <w:r>
        <w:rPr>
          <w:rFonts w:hint="eastAsia"/>
          <w:sz w:val="24"/>
        </w:rPr>
        <w:t xml:space="preserve">服务内容   </w:t>
      </w:r>
    </w:p>
    <w:p w14:paraId="7F8F182D"/>
    <w:tbl>
      <w:tblPr>
        <w:tblStyle w:val="5"/>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
        <w:gridCol w:w="860"/>
        <w:gridCol w:w="1258"/>
        <w:gridCol w:w="2510"/>
        <w:gridCol w:w="414"/>
        <w:gridCol w:w="479"/>
        <w:gridCol w:w="1557"/>
      </w:tblGrid>
      <w:tr w14:paraId="1EC4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539" w:type="pct"/>
            <w:shd w:val="clear" w:color="auto" w:fill="FFFFFF"/>
            <w:vAlign w:val="center"/>
          </w:tcPr>
          <w:p w14:paraId="4A53B0F6">
            <w:pPr>
              <w:pStyle w:val="2"/>
            </w:pPr>
          </w:p>
        </w:tc>
        <w:tc>
          <w:tcPr>
            <w:tcW w:w="542" w:type="pct"/>
            <w:shd w:val="clear" w:color="auto" w:fill="FFFFFF"/>
            <w:tcMar>
              <w:top w:w="10" w:type="dxa"/>
              <w:left w:w="10" w:type="dxa"/>
              <w:right w:w="10" w:type="dxa"/>
            </w:tcMar>
            <w:vAlign w:val="center"/>
          </w:tcPr>
          <w:p w14:paraId="680A22D2">
            <w:pPr>
              <w:widowControl/>
              <w:jc w:val="center"/>
              <w:textAlignment w:val="center"/>
              <w:rPr>
                <w:rFonts w:ascii="宋体" w:hAnsi="宋体"/>
                <w:b/>
              </w:rPr>
            </w:pPr>
            <w:r>
              <w:rPr>
                <w:rFonts w:hint="eastAsia" w:ascii="宋体" w:hAnsi="宋体"/>
                <w:b/>
                <w:kern w:val="0"/>
                <w:lang w:bidi="ar"/>
              </w:rPr>
              <w:t>服务项目</w:t>
            </w:r>
          </w:p>
        </w:tc>
        <w:tc>
          <w:tcPr>
            <w:tcW w:w="793" w:type="pct"/>
            <w:shd w:val="clear" w:color="auto" w:fill="FFFFFF"/>
            <w:tcMar>
              <w:top w:w="10" w:type="dxa"/>
              <w:left w:w="10" w:type="dxa"/>
              <w:right w:w="10" w:type="dxa"/>
            </w:tcMar>
            <w:vAlign w:val="center"/>
          </w:tcPr>
          <w:p w14:paraId="012970A0">
            <w:pPr>
              <w:widowControl/>
              <w:jc w:val="center"/>
              <w:textAlignment w:val="center"/>
              <w:rPr>
                <w:rFonts w:ascii="宋体" w:hAnsi="宋体"/>
                <w:b/>
              </w:rPr>
            </w:pPr>
            <w:r>
              <w:rPr>
                <w:rFonts w:hint="eastAsia" w:ascii="宋体" w:hAnsi="宋体"/>
                <w:b/>
                <w:kern w:val="0"/>
                <w:lang w:bidi="ar"/>
              </w:rPr>
              <w:t>服务范围</w:t>
            </w:r>
          </w:p>
        </w:tc>
        <w:tc>
          <w:tcPr>
            <w:tcW w:w="1582" w:type="pct"/>
            <w:shd w:val="clear" w:color="auto" w:fill="FFFFFF"/>
            <w:tcMar>
              <w:top w:w="10" w:type="dxa"/>
              <w:left w:w="10" w:type="dxa"/>
              <w:right w:w="10" w:type="dxa"/>
            </w:tcMar>
            <w:vAlign w:val="center"/>
          </w:tcPr>
          <w:p w14:paraId="50C7800A">
            <w:pPr>
              <w:widowControl/>
              <w:jc w:val="center"/>
              <w:textAlignment w:val="center"/>
              <w:rPr>
                <w:rFonts w:ascii="宋体" w:hAnsi="宋体"/>
                <w:b/>
              </w:rPr>
            </w:pPr>
            <w:r>
              <w:rPr>
                <w:rFonts w:hint="eastAsia" w:ascii="宋体" w:hAnsi="宋体"/>
                <w:b/>
                <w:kern w:val="0"/>
                <w:lang w:bidi="ar"/>
              </w:rPr>
              <w:t>服务内容简述</w:t>
            </w:r>
          </w:p>
        </w:tc>
        <w:tc>
          <w:tcPr>
            <w:tcW w:w="261" w:type="pct"/>
            <w:shd w:val="clear" w:color="auto" w:fill="FFFFFF"/>
            <w:tcMar>
              <w:top w:w="10" w:type="dxa"/>
              <w:left w:w="10" w:type="dxa"/>
              <w:right w:w="10" w:type="dxa"/>
            </w:tcMar>
            <w:vAlign w:val="center"/>
          </w:tcPr>
          <w:p w14:paraId="444A08F0">
            <w:pPr>
              <w:widowControl/>
              <w:jc w:val="center"/>
              <w:textAlignment w:val="center"/>
              <w:rPr>
                <w:rFonts w:ascii="宋体" w:hAnsi="宋体"/>
                <w:b/>
              </w:rPr>
            </w:pPr>
            <w:r>
              <w:rPr>
                <w:rFonts w:hint="eastAsia" w:ascii="宋体" w:hAnsi="宋体"/>
                <w:b/>
                <w:kern w:val="0"/>
                <w:lang w:bidi="ar"/>
              </w:rPr>
              <w:t>服务频次</w:t>
            </w:r>
          </w:p>
        </w:tc>
        <w:tc>
          <w:tcPr>
            <w:tcW w:w="302" w:type="pct"/>
            <w:tcMar>
              <w:top w:w="10" w:type="dxa"/>
              <w:left w:w="10" w:type="dxa"/>
              <w:right w:w="10" w:type="dxa"/>
            </w:tcMar>
            <w:vAlign w:val="center"/>
          </w:tcPr>
          <w:p w14:paraId="4195EFC0">
            <w:pPr>
              <w:widowControl/>
              <w:jc w:val="center"/>
              <w:textAlignment w:val="center"/>
              <w:rPr>
                <w:rFonts w:ascii="宋体" w:hAnsi="宋体"/>
                <w:b/>
              </w:rPr>
            </w:pPr>
            <w:r>
              <w:rPr>
                <w:rFonts w:hint="eastAsia" w:ascii="宋体" w:hAnsi="宋体"/>
                <w:b/>
                <w:kern w:val="0"/>
                <w:lang w:bidi="ar"/>
              </w:rPr>
              <w:t>单位</w:t>
            </w:r>
          </w:p>
        </w:tc>
        <w:tc>
          <w:tcPr>
            <w:tcW w:w="981" w:type="pct"/>
            <w:tcMar>
              <w:top w:w="10" w:type="dxa"/>
              <w:left w:w="10" w:type="dxa"/>
              <w:right w:w="10" w:type="dxa"/>
            </w:tcMar>
            <w:vAlign w:val="center"/>
          </w:tcPr>
          <w:p w14:paraId="1F53FA56">
            <w:pPr>
              <w:widowControl/>
              <w:jc w:val="center"/>
              <w:textAlignment w:val="center"/>
              <w:rPr>
                <w:rFonts w:ascii="宋体" w:hAnsi="宋体"/>
                <w:b/>
              </w:rPr>
            </w:pPr>
            <w:r>
              <w:rPr>
                <w:rFonts w:hint="eastAsia" w:ascii="宋体" w:hAnsi="宋体"/>
                <w:b/>
                <w:kern w:val="0"/>
                <w:lang w:bidi="ar"/>
              </w:rPr>
              <w:t>备注</w:t>
            </w:r>
          </w:p>
        </w:tc>
      </w:tr>
      <w:tr w14:paraId="0BB7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56FE2EE8">
            <w:pPr>
              <w:pStyle w:val="10"/>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14:paraId="0CD1DE34">
            <w:pPr>
              <w:widowControl/>
              <w:jc w:val="center"/>
              <w:textAlignment w:val="center"/>
              <w:rPr>
                <w:rFonts w:ascii="宋体" w:hAnsi="宋体"/>
              </w:rPr>
            </w:pPr>
            <w:r>
              <w:rPr>
                <w:rFonts w:hint="eastAsia" w:ascii="宋体" w:hAnsi="宋体"/>
                <w:kern w:val="0"/>
                <w:lang w:bidi="ar"/>
              </w:rPr>
              <w:t>等级保护咨询服务</w:t>
            </w:r>
          </w:p>
        </w:tc>
        <w:tc>
          <w:tcPr>
            <w:tcW w:w="793" w:type="pct"/>
            <w:tcMar>
              <w:top w:w="10" w:type="dxa"/>
              <w:left w:w="10" w:type="dxa"/>
              <w:right w:w="10" w:type="dxa"/>
            </w:tcMar>
            <w:vAlign w:val="center"/>
          </w:tcPr>
          <w:p w14:paraId="5E10714C">
            <w:pPr>
              <w:widowControl/>
              <w:jc w:val="center"/>
              <w:textAlignment w:val="center"/>
              <w:rPr>
                <w:rFonts w:ascii="宋体" w:hAnsi="宋体"/>
                <w:kern w:val="0"/>
                <w:lang w:bidi="ar"/>
              </w:rPr>
            </w:pPr>
            <w:r>
              <w:rPr>
                <w:rFonts w:hint="eastAsia" w:ascii="宋体" w:hAnsi="宋体"/>
                <w:kern w:val="0"/>
                <w:lang w:bidi="ar"/>
              </w:rPr>
              <w:t>需要过等保的信息系统，目前是HIS\LIS\EMR\PACS\HIP\门户网站\公共大屏播放系统\微信公众号\互联网医院里的应用功能系统以及二级系统</w:t>
            </w:r>
          </w:p>
        </w:tc>
        <w:tc>
          <w:tcPr>
            <w:tcW w:w="1582" w:type="pct"/>
            <w:tcMar>
              <w:top w:w="10" w:type="dxa"/>
              <w:left w:w="10" w:type="dxa"/>
              <w:right w:w="10" w:type="dxa"/>
            </w:tcMar>
            <w:vAlign w:val="center"/>
          </w:tcPr>
          <w:p w14:paraId="5371B91E">
            <w:pPr>
              <w:widowControl/>
              <w:jc w:val="left"/>
              <w:textAlignment w:val="center"/>
              <w:rPr>
                <w:lang w:bidi="ar"/>
              </w:rPr>
            </w:pPr>
            <w:r>
              <w:rPr>
                <w:rFonts w:hint="eastAsia" w:ascii="宋体" w:hAnsi="宋体"/>
                <w:kern w:val="0"/>
                <w:lang w:bidi="ar"/>
              </w:rPr>
              <w:t xml:space="preserve">采购人提供等保安全咨询规划、等保定级评审协助、等保备案协助、等保安全差距分析、等保安全整改协助、等保制度编制辅助、等保自评辅助、测评现场协助等服务。所使用的服务工具能够支持： </w:t>
            </w:r>
            <w:r>
              <w:rPr>
                <w:rFonts w:ascii="宋体" w:hAnsi="宋体"/>
                <w:kern w:val="0"/>
                <w:lang w:bidi="ar"/>
              </w:rPr>
              <w:t xml:space="preserve"> </w:t>
            </w:r>
          </w:p>
        </w:tc>
        <w:tc>
          <w:tcPr>
            <w:tcW w:w="261" w:type="pct"/>
            <w:tcMar>
              <w:top w:w="10" w:type="dxa"/>
              <w:left w:w="10" w:type="dxa"/>
              <w:right w:w="10" w:type="dxa"/>
            </w:tcMar>
            <w:vAlign w:val="center"/>
          </w:tcPr>
          <w:p w14:paraId="101E263C">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545D6548">
            <w:pPr>
              <w:widowControl/>
              <w:jc w:val="center"/>
              <w:textAlignment w:val="center"/>
              <w:rPr>
                <w:rFonts w:ascii="宋体" w:hAnsi="宋体"/>
              </w:rPr>
            </w:pPr>
            <w:r>
              <w:rPr>
                <w:rFonts w:hint="eastAsia" w:ascii="宋体" w:hAnsi="宋体"/>
                <w:kern w:val="0"/>
                <w:lang w:bidi="ar"/>
              </w:rPr>
              <w:t>次</w:t>
            </w:r>
          </w:p>
        </w:tc>
        <w:tc>
          <w:tcPr>
            <w:tcW w:w="981" w:type="pct"/>
            <w:tcMar>
              <w:top w:w="10" w:type="dxa"/>
              <w:left w:w="10" w:type="dxa"/>
              <w:right w:w="10" w:type="dxa"/>
            </w:tcMar>
            <w:vAlign w:val="center"/>
          </w:tcPr>
          <w:p w14:paraId="4C222F98">
            <w:pPr>
              <w:widowControl/>
              <w:jc w:val="left"/>
              <w:textAlignment w:val="center"/>
              <w:rPr>
                <w:rFonts w:ascii="宋体" w:hAnsi="宋体"/>
                <w:kern w:val="0"/>
                <w:lang w:bidi="ar"/>
              </w:rPr>
            </w:pPr>
            <w:r>
              <w:rPr>
                <w:rFonts w:hint="eastAsia" w:ascii="宋体" w:hAnsi="宋体"/>
                <w:kern w:val="0"/>
                <w:lang w:bidi="ar"/>
              </w:rPr>
              <w:t>"共9个三级系统和3个二级系统，出具启动会PPT</w:t>
            </w:r>
          </w:p>
          <w:p w14:paraId="4AAA611B">
            <w:pPr>
              <w:widowControl/>
              <w:jc w:val="left"/>
              <w:textAlignment w:val="center"/>
              <w:rPr>
                <w:rFonts w:ascii="宋体" w:hAnsi="宋体"/>
              </w:rPr>
            </w:pPr>
            <w:r>
              <w:rPr>
                <w:rFonts w:hint="eastAsia" w:ascii="宋体" w:hAnsi="宋体"/>
                <w:kern w:val="0"/>
                <w:lang w:bidi="ar"/>
              </w:rPr>
              <w:t>《实施计划表》、《资产调研表》、《差距分析报告》等相关等保建设过程需要的材料内容"</w:t>
            </w:r>
          </w:p>
        </w:tc>
      </w:tr>
      <w:tr w14:paraId="5CB3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31F00FD8">
            <w:pPr>
              <w:pStyle w:val="10"/>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14:paraId="7CA12CE6">
            <w:pPr>
              <w:widowControl/>
              <w:jc w:val="center"/>
              <w:textAlignment w:val="center"/>
              <w:rPr>
                <w:rFonts w:ascii="宋体" w:hAnsi="宋体"/>
              </w:rPr>
            </w:pPr>
            <w:r>
              <w:rPr>
                <w:rFonts w:hint="eastAsia" w:ascii="宋体" w:hAnsi="宋体"/>
                <w:kern w:val="0"/>
                <w:lang w:bidi="ar"/>
              </w:rPr>
              <w:t>应急响应服务</w:t>
            </w:r>
          </w:p>
        </w:tc>
        <w:tc>
          <w:tcPr>
            <w:tcW w:w="793" w:type="pct"/>
            <w:tcMar>
              <w:top w:w="10" w:type="dxa"/>
              <w:left w:w="10" w:type="dxa"/>
              <w:right w:w="10" w:type="dxa"/>
            </w:tcMar>
            <w:vAlign w:val="center"/>
          </w:tcPr>
          <w:p w14:paraId="43174785">
            <w:pPr>
              <w:widowControl/>
              <w:jc w:val="center"/>
              <w:textAlignment w:val="center"/>
              <w:rPr>
                <w:rFonts w:ascii="宋体" w:hAnsi="宋体"/>
              </w:rPr>
            </w:pPr>
            <w:r>
              <w:rPr>
                <w:rFonts w:hint="eastAsia" w:ascii="宋体" w:hAnsi="宋体"/>
                <w:kern w:val="0"/>
                <w:lang w:bidi="ar"/>
              </w:rPr>
              <w:t>突发性安全事件：如数据大量被篡改、丢失，网络大面积终端，应用系统中毒等严重影响业务系统运行和医院办公的高危事件</w:t>
            </w:r>
          </w:p>
        </w:tc>
        <w:tc>
          <w:tcPr>
            <w:tcW w:w="1582" w:type="pct"/>
            <w:tcMar>
              <w:top w:w="10" w:type="dxa"/>
              <w:left w:w="10" w:type="dxa"/>
              <w:right w:w="10" w:type="dxa"/>
            </w:tcMar>
            <w:vAlign w:val="center"/>
          </w:tcPr>
          <w:p w14:paraId="6DA175F4">
            <w:pPr>
              <w:widowControl/>
              <w:jc w:val="left"/>
              <w:textAlignment w:val="center"/>
              <w:rPr>
                <w:rFonts w:ascii="宋体" w:hAnsi="宋体"/>
                <w:kern w:val="0"/>
                <w:lang w:bidi="ar"/>
              </w:rPr>
            </w:pPr>
            <w:r>
              <w:rPr>
                <w:rFonts w:hint="eastAsia" w:ascii="宋体" w:hAnsi="宋体"/>
                <w:kern w:val="0"/>
                <w:lang w:bidi="ar"/>
              </w:rPr>
              <w:t>提供7*24小时对网络安全设备故障、病毒暴发、门户网站黑客入侵等紧急事件进行安全应急响应服务。</w:t>
            </w:r>
          </w:p>
          <w:p w14:paraId="00941396">
            <w:pPr>
              <w:widowControl/>
              <w:jc w:val="left"/>
              <w:textAlignment w:val="center"/>
              <w:rPr>
                <w:rFonts w:ascii="宋体" w:hAnsi="宋体"/>
                <w:kern w:val="0"/>
                <w:lang w:bidi="ar"/>
              </w:rPr>
            </w:pPr>
            <w:r>
              <w:rPr>
                <w:rFonts w:hint="eastAsia" w:ascii="宋体" w:hAnsi="宋体"/>
                <w:kern w:val="0"/>
                <w:lang w:bidi="ar"/>
              </w:rPr>
              <w:t>安全专家通过远程或现场方式及时响应与处理信息安全事件，协助客户降低影响，分析安全问题</w:t>
            </w:r>
          </w:p>
          <w:p w14:paraId="35B8DA31">
            <w:pPr>
              <w:widowControl/>
              <w:jc w:val="left"/>
              <w:textAlignment w:val="center"/>
              <w:rPr>
                <w:rFonts w:ascii="宋体" w:hAnsi="宋体"/>
                <w:kern w:val="0"/>
                <w:lang w:bidi="ar"/>
              </w:rPr>
            </w:pPr>
            <w:r>
              <w:rPr>
                <w:rFonts w:hint="eastAsia" w:ascii="宋体" w:hAnsi="宋体"/>
                <w:kern w:val="0"/>
                <w:lang w:bidi="ar"/>
              </w:rPr>
              <w:t>产生的原因，提供应急响应报告和改进建议。</w:t>
            </w:r>
          </w:p>
          <w:p w14:paraId="498E4C1F">
            <w:pPr>
              <w:widowControl/>
              <w:jc w:val="left"/>
              <w:textAlignment w:val="center"/>
              <w:rPr>
                <w:rFonts w:ascii="宋体" w:hAnsi="宋体"/>
              </w:rPr>
            </w:pPr>
            <w:r>
              <w:rPr>
                <w:rFonts w:hint="eastAsia" w:ascii="宋体" w:hAnsi="宋体"/>
                <w:kern w:val="0"/>
                <w:lang w:bidi="ar"/>
              </w:rPr>
              <w:t>安全问题发生后≤5分钟电话响应，≤30分钟远程支持响应，≤2小时现场支撑响应。</w:t>
            </w:r>
          </w:p>
        </w:tc>
        <w:tc>
          <w:tcPr>
            <w:tcW w:w="261" w:type="pct"/>
            <w:tcMar>
              <w:top w:w="10" w:type="dxa"/>
              <w:left w:w="10" w:type="dxa"/>
              <w:right w:w="10" w:type="dxa"/>
            </w:tcMar>
            <w:vAlign w:val="center"/>
          </w:tcPr>
          <w:p w14:paraId="1FABAA31">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6768DEA4">
            <w:pPr>
              <w:widowControl/>
              <w:jc w:val="center"/>
              <w:textAlignment w:val="center"/>
              <w:rPr>
                <w:rFonts w:ascii="宋体" w:hAnsi="宋体"/>
              </w:rPr>
            </w:pPr>
            <w:r>
              <w:rPr>
                <w:rFonts w:hint="eastAsia" w:ascii="宋体" w:hAnsi="宋体"/>
                <w:kern w:val="0"/>
                <w:lang w:bidi="ar"/>
              </w:rPr>
              <w:t>年</w:t>
            </w:r>
          </w:p>
        </w:tc>
        <w:tc>
          <w:tcPr>
            <w:tcW w:w="981" w:type="pct"/>
            <w:tcMar>
              <w:top w:w="10" w:type="dxa"/>
              <w:left w:w="10" w:type="dxa"/>
              <w:right w:w="10" w:type="dxa"/>
            </w:tcMar>
            <w:vAlign w:val="center"/>
          </w:tcPr>
          <w:p w14:paraId="1B5AA3FE">
            <w:pPr>
              <w:widowControl/>
              <w:jc w:val="center"/>
              <w:textAlignment w:val="center"/>
              <w:rPr>
                <w:rFonts w:ascii="宋体" w:hAnsi="宋体"/>
              </w:rPr>
            </w:pPr>
            <w:r>
              <w:rPr>
                <w:rFonts w:hint="eastAsia" w:ascii="宋体" w:hAnsi="宋体"/>
                <w:kern w:val="0"/>
                <w:lang w:bidi="ar"/>
              </w:rPr>
              <w:t>《应急响应报告》</w:t>
            </w:r>
          </w:p>
        </w:tc>
      </w:tr>
      <w:tr w14:paraId="339E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323FDEC5">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14:paraId="0B608856">
            <w:pPr>
              <w:widowControl/>
              <w:jc w:val="center"/>
              <w:textAlignment w:val="center"/>
              <w:rPr>
                <w:rFonts w:ascii="宋体" w:hAnsi="宋体"/>
              </w:rPr>
            </w:pPr>
            <w:r>
              <w:rPr>
                <w:rFonts w:hint="eastAsia" w:ascii="宋体" w:hAnsi="宋体"/>
                <w:kern w:val="0"/>
                <w:lang w:bidi="ar"/>
              </w:rPr>
              <w:t>安全演练服务</w:t>
            </w:r>
          </w:p>
        </w:tc>
        <w:tc>
          <w:tcPr>
            <w:tcW w:w="793" w:type="pct"/>
            <w:shd w:val="clear" w:color="auto" w:fill="auto"/>
            <w:tcMar>
              <w:top w:w="10" w:type="dxa"/>
              <w:left w:w="10" w:type="dxa"/>
              <w:right w:w="10" w:type="dxa"/>
            </w:tcMar>
            <w:vAlign w:val="center"/>
          </w:tcPr>
          <w:p w14:paraId="080A4F4D">
            <w:pPr>
              <w:widowControl/>
              <w:jc w:val="center"/>
              <w:textAlignment w:val="center"/>
              <w:rPr>
                <w:rFonts w:ascii="宋体" w:hAnsi="宋体"/>
              </w:rPr>
            </w:pPr>
            <w:r>
              <w:rPr>
                <w:rFonts w:hint="eastAsia" w:ascii="宋体" w:hAnsi="宋体"/>
                <w:kern w:val="0"/>
                <w:lang w:bidi="ar"/>
              </w:rPr>
              <w:t>高风险安全事件</w:t>
            </w:r>
          </w:p>
        </w:tc>
        <w:tc>
          <w:tcPr>
            <w:tcW w:w="1582" w:type="pct"/>
            <w:shd w:val="clear" w:color="auto" w:fill="auto"/>
            <w:tcMar>
              <w:top w:w="10" w:type="dxa"/>
              <w:left w:w="10" w:type="dxa"/>
              <w:right w:w="10" w:type="dxa"/>
            </w:tcMar>
            <w:vAlign w:val="center"/>
          </w:tcPr>
          <w:p w14:paraId="5713553F">
            <w:pPr>
              <w:widowControl/>
              <w:jc w:val="left"/>
              <w:textAlignment w:val="center"/>
              <w:rPr>
                <w:rFonts w:ascii="宋体" w:hAnsi="宋体"/>
              </w:rPr>
            </w:pPr>
            <w:r>
              <w:rPr>
                <w:rFonts w:hint="eastAsia" w:ascii="宋体" w:hAnsi="宋体"/>
                <w:kern w:val="0"/>
                <w:lang w:bidi="ar"/>
              </w:rPr>
              <w:t>根据用户现场网络和业务的实际环境，协助编写专项网络安全演练预案，准备演练场景，演练的方式以桌演为主（其他方式由供应商和采购方协商而定），来检验应急预案和应急流程是否完善，发现用户的网络安全应对薄弱点，实现提高应急处理能力。</w:t>
            </w:r>
          </w:p>
        </w:tc>
        <w:tc>
          <w:tcPr>
            <w:tcW w:w="261" w:type="pct"/>
            <w:shd w:val="clear" w:color="auto" w:fill="FFFFFF"/>
            <w:tcMar>
              <w:top w:w="10" w:type="dxa"/>
              <w:left w:w="10" w:type="dxa"/>
              <w:right w:w="10" w:type="dxa"/>
            </w:tcMar>
            <w:vAlign w:val="center"/>
          </w:tcPr>
          <w:p w14:paraId="107951B1">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01034442">
            <w:pPr>
              <w:widowControl/>
              <w:jc w:val="center"/>
              <w:textAlignment w:val="center"/>
              <w:rPr>
                <w:rFonts w:ascii="宋体" w:hAnsi="宋体"/>
              </w:rPr>
            </w:pPr>
            <w:r>
              <w:rPr>
                <w:rFonts w:hint="eastAsia" w:ascii="宋体" w:hAnsi="宋体"/>
                <w:kern w:val="0"/>
                <w:lang w:bidi="ar"/>
              </w:rPr>
              <w:t>次</w:t>
            </w:r>
          </w:p>
        </w:tc>
        <w:tc>
          <w:tcPr>
            <w:tcW w:w="981" w:type="pct"/>
            <w:tcMar>
              <w:top w:w="10" w:type="dxa"/>
              <w:left w:w="10" w:type="dxa"/>
              <w:right w:w="10" w:type="dxa"/>
            </w:tcMar>
            <w:vAlign w:val="center"/>
          </w:tcPr>
          <w:p w14:paraId="79298D51">
            <w:pPr>
              <w:widowControl/>
              <w:jc w:val="center"/>
              <w:textAlignment w:val="center"/>
              <w:rPr>
                <w:rFonts w:ascii="宋体" w:hAnsi="宋体"/>
              </w:rPr>
            </w:pPr>
            <w:r>
              <w:rPr>
                <w:rFonts w:hint="eastAsia" w:ascii="宋体" w:hAnsi="宋体"/>
                <w:kern w:val="0"/>
                <w:lang w:bidi="ar"/>
              </w:rPr>
              <w:t>《安全演练方案》、《安全演练报告》</w:t>
            </w:r>
          </w:p>
        </w:tc>
      </w:tr>
      <w:tr w14:paraId="73B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4181065F">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4ECBC5E3">
            <w:pPr>
              <w:widowControl/>
              <w:jc w:val="center"/>
              <w:textAlignment w:val="center"/>
              <w:rPr>
                <w:rFonts w:ascii="宋体" w:hAnsi="宋体"/>
              </w:rPr>
            </w:pPr>
            <w:r>
              <w:rPr>
                <w:rFonts w:hint="eastAsia" w:ascii="宋体" w:hAnsi="宋体"/>
                <w:kern w:val="0"/>
                <w:lang w:bidi="ar"/>
              </w:rPr>
              <w:t>基线检查服务</w:t>
            </w:r>
          </w:p>
        </w:tc>
        <w:tc>
          <w:tcPr>
            <w:tcW w:w="793" w:type="pct"/>
            <w:shd w:val="clear" w:color="auto" w:fill="auto"/>
            <w:tcMar>
              <w:top w:w="10" w:type="dxa"/>
              <w:left w:w="10" w:type="dxa"/>
              <w:right w:w="10" w:type="dxa"/>
            </w:tcMar>
            <w:vAlign w:val="center"/>
          </w:tcPr>
          <w:p w14:paraId="62013C51">
            <w:pPr>
              <w:widowControl/>
              <w:jc w:val="left"/>
              <w:textAlignment w:val="center"/>
              <w:rPr>
                <w:rFonts w:ascii="宋体" w:hAnsi="宋体"/>
                <w:kern w:val="0"/>
                <w:lang w:bidi="ar"/>
              </w:rPr>
            </w:pPr>
            <w:r>
              <w:rPr>
                <w:rFonts w:hint="eastAsia" w:ascii="宋体" w:hAnsi="宋体"/>
                <w:kern w:val="0"/>
                <w:lang w:bidi="ar"/>
              </w:rPr>
              <w:t>需要过等保的信息系统，目前是HIS\LIS\EMR\PACS\HIP\门户网站\公共大屏播放系统、微信公众号里的应用功能系统</w:t>
            </w:r>
          </w:p>
        </w:tc>
        <w:tc>
          <w:tcPr>
            <w:tcW w:w="1582" w:type="pct"/>
            <w:shd w:val="clear" w:color="auto" w:fill="FFFFFF"/>
            <w:tcMar>
              <w:top w:w="10" w:type="dxa"/>
              <w:left w:w="10" w:type="dxa"/>
              <w:right w:w="10" w:type="dxa"/>
            </w:tcMar>
            <w:vAlign w:val="center"/>
          </w:tcPr>
          <w:p w14:paraId="22C3A9E7">
            <w:pPr>
              <w:widowControl/>
              <w:jc w:val="left"/>
              <w:textAlignment w:val="center"/>
              <w:rPr>
                <w:rFonts w:ascii="宋体" w:hAnsi="宋体"/>
                <w:kern w:val="0"/>
                <w:lang w:bidi="ar"/>
              </w:rPr>
            </w:pPr>
            <w:r>
              <w:rPr>
                <w:rFonts w:hint="eastAsia" w:ascii="宋体" w:hAnsi="宋体"/>
                <w:kern w:val="0"/>
                <w:lang w:bidi="ar"/>
              </w:rPr>
              <w:t>使用安全配置核查产品（工具或系统）或人工方式，对约定服务范围内系统中网络设备、主机操作系统、中间件系统、数据库系统和业务应用系统进行安全配置基线（依据《信息安全技术 网络安全等级保护基本要求》/或相关行业标准）检查。</w:t>
            </w:r>
          </w:p>
          <w:p w14:paraId="274AA0F8">
            <w:pPr>
              <w:pStyle w:val="2"/>
              <w:rPr>
                <w:lang w:bidi="ar"/>
              </w:rPr>
            </w:pPr>
            <w:r>
              <w:rPr>
                <w:rFonts w:hint="eastAsia"/>
                <w:lang w:bidi="ar"/>
              </w:rPr>
              <w:t>所使用的服务工具能够支持：</w:t>
            </w:r>
          </w:p>
        </w:tc>
        <w:tc>
          <w:tcPr>
            <w:tcW w:w="261" w:type="pct"/>
            <w:shd w:val="clear" w:color="auto" w:fill="FFFFFF"/>
            <w:tcMar>
              <w:top w:w="10" w:type="dxa"/>
              <w:left w:w="10" w:type="dxa"/>
              <w:right w:w="10" w:type="dxa"/>
            </w:tcMar>
            <w:vAlign w:val="center"/>
          </w:tcPr>
          <w:p w14:paraId="745FD7C4">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4B4DA9B7">
            <w:pPr>
              <w:widowControl/>
              <w:jc w:val="center"/>
              <w:textAlignment w:val="center"/>
              <w:rPr>
                <w:rFonts w:ascii="宋体" w:hAnsi="宋体"/>
              </w:rPr>
            </w:pPr>
            <w:r>
              <w:rPr>
                <w:rFonts w:hint="eastAsia" w:ascii="宋体" w:hAnsi="宋体"/>
                <w:kern w:val="0"/>
                <w:lang w:bidi="ar"/>
              </w:rPr>
              <w:t>次</w:t>
            </w:r>
          </w:p>
        </w:tc>
        <w:tc>
          <w:tcPr>
            <w:tcW w:w="981" w:type="pct"/>
            <w:tcMar>
              <w:top w:w="10" w:type="dxa"/>
              <w:left w:w="10" w:type="dxa"/>
              <w:right w:w="10" w:type="dxa"/>
            </w:tcMar>
            <w:vAlign w:val="center"/>
          </w:tcPr>
          <w:p w14:paraId="76F1713E">
            <w:pPr>
              <w:widowControl/>
              <w:jc w:val="center"/>
              <w:textAlignment w:val="center"/>
              <w:rPr>
                <w:rFonts w:ascii="宋体" w:hAnsi="宋体"/>
              </w:rPr>
            </w:pPr>
            <w:r>
              <w:rPr>
                <w:rFonts w:hint="eastAsia" w:ascii="宋体" w:hAnsi="宋体"/>
                <w:kern w:val="0"/>
                <w:lang w:bidi="ar"/>
              </w:rPr>
              <w:t>《基线检查报告》</w:t>
            </w:r>
          </w:p>
        </w:tc>
      </w:tr>
      <w:tr w14:paraId="79E2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2EAB6A4C">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14:paraId="589A2496">
            <w:pPr>
              <w:widowControl/>
              <w:jc w:val="center"/>
              <w:textAlignment w:val="center"/>
              <w:rPr>
                <w:rFonts w:ascii="宋体" w:hAnsi="宋体"/>
              </w:rPr>
            </w:pPr>
            <w:r>
              <w:rPr>
                <w:rFonts w:hint="eastAsia" w:ascii="宋体" w:hAnsi="宋体"/>
                <w:kern w:val="0"/>
                <w:lang w:bidi="ar"/>
              </w:rPr>
              <w:t>漏洞安全预警通告服务</w:t>
            </w:r>
          </w:p>
        </w:tc>
        <w:tc>
          <w:tcPr>
            <w:tcW w:w="793" w:type="pct"/>
            <w:vMerge w:val="restart"/>
            <w:shd w:val="clear" w:color="auto" w:fill="FFFFFF"/>
            <w:tcMar>
              <w:top w:w="10" w:type="dxa"/>
              <w:left w:w="10" w:type="dxa"/>
              <w:right w:w="10" w:type="dxa"/>
            </w:tcMar>
            <w:vAlign w:val="center"/>
          </w:tcPr>
          <w:p w14:paraId="23F21E83">
            <w:pPr>
              <w:widowControl/>
              <w:jc w:val="left"/>
              <w:textAlignment w:val="center"/>
              <w:rPr>
                <w:rFonts w:ascii="宋体" w:hAnsi="宋体"/>
              </w:rPr>
            </w:pPr>
            <w:r>
              <w:rPr>
                <w:rFonts w:hint="eastAsia" w:ascii="宋体" w:hAnsi="宋体"/>
                <w:kern w:val="0"/>
                <w:lang w:bidi="ar"/>
              </w:rPr>
              <w:t>已知安全事件、高危漏洞</w:t>
            </w:r>
          </w:p>
          <w:p w14:paraId="0E4EDA61">
            <w:pPr>
              <w:widowControl/>
              <w:jc w:val="center"/>
              <w:textAlignment w:val="center"/>
              <w:rPr>
                <w:rFonts w:ascii="宋体" w:hAnsi="宋体"/>
              </w:rPr>
            </w:pPr>
          </w:p>
        </w:tc>
        <w:tc>
          <w:tcPr>
            <w:tcW w:w="1582" w:type="pct"/>
            <w:shd w:val="clear" w:color="auto" w:fill="auto"/>
            <w:tcMar>
              <w:top w:w="10" w:type="dxa"/>
              <w:left w:w="10" w:type="dxa"/>
              <w:right w:w="10" w:type="dxa"/>
            </w:tcMar>
            <w:vAlign w:val="center"/>
          </w:tcPr>
          <w:p w14:paraId="16A5DA91">
            <w:pPr>
              <w:widowControl/>
              <w:jc w:val="left"/>
              <w:textAlignment w:val="center"/>
              <w:rPr>
                <w:rFonts w:ascii="宋体" w:hAnsi="宋体"/>
              </w:rPr>
            </w:pPr>
            <w:r>
              <w:rPr>
                <w:rFonts w:hint="eastAsia" w:ascii="宋体" w:hAnsi="宋体"/>
                <w:kern w:val="0"/>
                <w:lang w:bidi="ar"/>
              </w:rPr>
              <w:t>高危漏洞预警属于实时预警通告服务，依据全面的攻防能力和强大的漏洞验证能力，在第一时间向用户发布高危漏洞预警，向用户通告漏洞的破坏程度，风险等级，影响范围、处置建议等信息。并</w:t>
            </w:r>
            <w:r>
              <w:rPr>
                <w:rFonts w:ascii="宋体" w:hAnsi="宋体"/>
                <w:kern w:val="0"/>
                <w:lang w:bidi="ar"/>
              </w:rPr>
              <w:t>配合</w:t>
            </w:r>
            <w:r>
              <w:rPr>
                <w:rFonts w:hint="eastAsia" w:ascii="宋体" w:hAnsi="宋体"/>
                <w:kern w:val="0"/>
                <w:lang w:bidi="ar"/>
              </w:rPr>
              <w:t>客户完成</w:t>
            </w:r>
            <w:r>
              <w:rPr>
                <w:rFonts w:ascii="宋体" w:hAnsi="宋体"/>
                <w:kern w:val="0"/>
                <w:lang w:bidi="ar"/>
              </w:rPr>
              <w:t>安全漏洞修补</w:t>
            </w:r>
          </w:p>
        </w:tc>
        <w:tc>
          <w:tcPr>
            <w:tcW w:w="261" w:type="pct"/>
            <w:shd w:val="clear" w:color="auto" w:fill="FFFFFF"/>
            <w:tcMar>
              <w:top w:w="10" w:type="dxa"/>
              <w:left w:w="10" w:type="dxa"/>
              <w:right w:w="10" w:type="dxa"/>
            </w:tcMar>
            <w:vAlign w:val="center"/>
          </w:tcPr>
          <w:p w14:paraId="78A2F159">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328CECD3">
            <w:pPr>
              <w:widowControl/>
              <w:jc w:val="center"/>
              <w:textAlignment w:val="center"/>
              <w:rPr>
                <w:rFonts w:ascii="宋体" w:hAnsi="宋体"/>
              </w:rPr>
            </w:pPr>
            <w:r>
              <w:rPr>
                <w:rFonts w:hint="eastAsia" w:ascii="宋体" w:hAnsi="宋体"/>
                <w:kern w:val="0"/>
                <w:lang w:bidi="ar"/>
              </w:rPr>
              <w:t>年</w:t>
            </w:r>
          </w:p>
        </w:tc>
        <w:tc>
          <w:tcPr>
            <w:tcW w:w="981" w:type="pct"/>
            <w:tcMar>
              <w:top w:w="10" w:type="dxa"/>
              <w:left w:w="10" w:type="dxa"/>
              <w:right w:w="10" w:type="dxa"/>
            </w:tcMar>
            <w:vAlign w:val="center"/>
          </w:tcPr>
          <w:p w14:paraId="0ADE9FB5">
            <w:pPr>
              <w:widowControl/>
              <w:jc w:val="center"/>
              <w:textAlignment w:val="center"/>
              <w:rPr>
                <w:rFonts w:ascii="宋体" w:hAnsi="宋体"/>
              </w:rPr>
            </w:pPr>
            <w:r>
              <w:rPr>
                <w:rFonts w:hint="eastAsia" w:ascii="宋体" w:hAnsi="宋体"/>
                <w:kern w:val="0"/>
                <w:lang w:bidi="ar"/>
              </w:rPr>
              <w:t>《漏洞安全预警通告》</w:t>
            </w:r>
          </w:p>
        </w:tc>
      </w:tr>
      <w:tr w14:paraId="684E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1989F37C">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14:paraId="6D7CD13D">
            <w:pPr>
              <w:widowControl/>
              <w:jc w:val="center"/>
              <w:textAlignment w:val="center"/>
              <w:rPr>
                <w:rFonts w:ascii="宋体" w:hAnsi="宋体"/>
              </w:rPr>
            </w:pPr>
            <w:r>
              <w:rPr>
                <w:rFonts w:hint="eastAsia" w:ascii="宋体" w:hAnsi="宋体"/>
                <w:kern w:val="0"/>
                <w:lang w:bidi="ar"/>
              </w:rPr>
              <w:t>安全热点报告服务</w:t>
            </w:r>
          </w:p>
        </w:tc>
        <w:tc>
          <w:tcPr>
            <w:tcW w:w="793" w:type="pct"/>
            <w:vMerge w:val="continue"/>
            <w:shd w:val="clear" w:color="auto" w:fill="FFFFFF"/>
            <w:tcMar>
              <w:top w:w="10" w:type="dxa"/>
              <w:left w:w="10" w:type="dxa"/>
              <w:right w:w="10" w:type="dxa"/>
            </w:tcMar>
            <w:vAlign w:val="center"/>
          </w:tcPr>
          <w:p w14:paraId="0213BE4F">
            <w:pPr>
              <w:jc w:val="center"/>
              <w:rPr>
                <w:rFonts w:ascii="宋体" w:hAnsi="宋体"/>
              </w:rPr>
            </w:pPr>
          </w:p>
        </w:tc>
        <w:tc>
          <w:tcPr>
            <w:tcW w:w="1582" w:type="pct"/>
            <w:shd w:val="clear" w:color="auto" w:fill="auto"/>
            <w:tcMar>
              <w:top w:w="10" w:type="dxa"/>
              <w:left w:w="10" w:type="dxa"/>
              <w:right w:w="10" w:type="dxa"/>
            </w:tcMar>
            <w:vAlign w:val="center"/>
          </w:tcPr>
          <w:p w14:paraId="5F87EC88">
            <w:pPr>
              <w:widowControl/>
              <w:jc w:val="left"/>
              <w:textAlignment w:val="center"/>
              <w:rPr>
                <w:rFonts w:ascii="宋体" w:hAnsi="宋体"/>
              </w:rPr>
            </w:pPr>
            <w:r>
              <w:rPr>
                <w:rFonts w:hint="eastAsia" w:ascii="宋体" w:hAnsi="宋体"/>
                <w:kern w:val="0"/>
                <w:lang w:bidi="ar"/>
              </w:rPr>
              <w:t>安全热点资讯属于每周推送分享服务，主要通过“安全事件”、“权威发布和安全趋势”和“安全快讯”多个专栏向用户分享网络攻击事件分析、境外黑客组织攻击行为分析、软硬件漏洞技术分析、病毒或恶意代码等有害程序事件和技术原理分析、安全技术研究报告，以及一些安全新闻或事件动态。</w:t>
            </w:r>
          </w:p>
        </w:tc>
        <w:tc>
          <w:tcPr>
            <w:tcW w:w="261" w:type="pct"/>
            <w:shd w:val="clear" w:color="auto" w:fill="FFFFFF"/>
            <w:tcMar>
              <w:top w:w="10" w:type="dxa"/>
              <w:left w:w="10" w:type="dxa"/>
              <w:right w:w="10" w:type="dxa"/>
            </w:tcMar>
            <w:vAlign w:val="center"/>
          </w:tcPr>
          <w:p w14:paraId="01B7AB6E">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2771F630">
            <w:pPr>
              <w:widowControl/>
              <w:jc w:val="center"/>
              <w:textAlignment w:val="center"/>
              <w:rPr>
                <w:rFonts w:ascii="宋体" w:hAnsi="宋体"/>
              </w:rPr>
            </w:pPr>
            <w:r>
              <w:rPr>
                <w:rFonts w:hint="eastAsia" w:ascii="宋体" w:hAnsi="宋体"/>
                <w:kern w:val="0"/>
                <w:lang w:bidi="ar"/>
              </w:rPr>
              <w:t>年</w:t>
            </w:r>
          </w:p>
        </w:tc>
        <w:tc>
          <w:tcPr>
            <w:tcW w:w="981" w:type="pct"/>
            <w:tcMar>
              <w:top w:w="10" w:type="dxa"/>
              <w:left w:w="10" w:type="dxa"/>
              <w:right w:w="10" w:type="dxa"/>
            </w:tcMar>
            <w:vAlign w:val="center"/>
          </w:tcPr>
          <w:p w14:paraId="541DF9F6">
            <w:pPr>
              <w:widowControl/>
              <w:jc w:val="center"/>
              <w:textAlignment w:val="center"/>
              <w:rPr>
                <w:rFonts w:ascii="宋体" w:hAnsi="宋体"/>
              </w:rPr>
            </w:pPr>
            <w:r>
              <w:rPr>
                <w:rFonts w:hint="eastAsia" w:ascii="宋体" w:hAnsi="宋体"/>
                <w:kern w:val="0"/>
                <w:lang w:bidi="ar"/>
              </w:rPr>
              <w:t>《安全热点周报》</w:t>
            </w:r>
          </w:p>
        </w:tc>
      </w:tr>
      <w:tr w14:paraId="1EDC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3E5276E4">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110EB5AC">
            <w:pPr>
              <w:widowControl/>
              <w:jc w:val="center"/>
              <w:textAlignment w:val="center"/>
              <w:rPr>
                <w:rFonts w:ascii="宋体" w:hAnsi="宋体"/>
              </w:rPr>
            </w:pPr>
            <w:r>
              <w:rPr>
                <w:rFonts w:hint="eastAsia" w:ascii="宋体" w:hAnsi="宋体"/>
                <w:kern w:val="0"/>
                <w:lang w:bidi="ar"/>
              </w:rPr>
              <w:t>渗透测试服务</w:t>
            </w:r>
          </w:p>
        </w:tc>
        <w:tc>
          <w:tcPr>
            <w:tcW w:w="793" w:type="pct"/>
            <w:shd w:val="clear" w:color="auto" w:fill="auto"/>
            <w:tcMar>
              <w:top w:w="10" w:type="dxa"/>
              <w:left w:w="10" w:type="dxa"/>
              <w:right w:w="10" w:type="dxa"/>
            </w:tcMar>
            <w:vAlign w:val="center"/>
          </w:tcPr>
          <w:p w14:paraId="6B327524">
            <w:pPr>
              <w:widowControl/>
              <w:jc w:val="center"/>
              <w:textAlignment w:val="center"/>
              <w:rPr>
                <w:rFonts w:ascii="宋体" w:hAnsi="宋体"/>
              </w:rPr>
            </w:pPr>
            <w:r>
              <w:rPr>
                <w:rFonts w:hint="eastAsia" w:ascii="宋体" w:hAnsi="宋体"/>
                <w:kern w:val="0"/>
                <w:lang w:bidi="ar"/>
              </w:rPr>
              <w:t>医院互联网</w:t>
            </w:r>
            <w:r>
              <w:rPr>
                <w:rFonts w:ascii="宋体" w:hAnsi="宋体"/>
                <w:kern w:val="0"/>
                <w:lang w:bidi="ar"/>
              </w:rPr>
              <w:t>侧web应用系统</w:t>
            </w:r>
          </w:p>
        </w:tc>
        <w:tc>
          <w:tcPr>
            <w:tcW w:w="1582" w:type="pct"/>
            <w:shd w:val="clear" w:color="auto" w:fill="FFFFFF"/>
            <w:tcMar>
              <w:top w:w="10" w:type="dxa"/>
              <w:left w:w="10" w:type="dxa"/>
              <w:right w:w="10" w:type="dxa"/>
            </w:tcMar>
            <w:vAlign w:val="center"/>
          </w:tcPr>
          <w:p w14:paraId="64A447D9">
            <w:pPr>
              <w:widowControl/>
              <w:jc w:val="left"/>
              <w:textAlignment w:val="center"/>
              <w:rPr>
                <w:rFonts w:ascii="宋体" w:hAnsi="宋体"/>
                <w:kern w:val="0"/>
                <w:lang w:bidi="ar"/>
              </w:rPr>
            </w:pPr>
            <w:r>
              <w:rPr>
                <w:rFonts w:hint="eastAsia" w:ascii="宋体" w:hAnsi="宋体"/>
                <w:kern w:val="0"/>
                <w:lang w:bidi="ar"/>
              </w:rPr>
              <w:t>"1、专业信息安全服务工程师通过人工以非破坏性方式（通过远程或现场方式）对约定服务范围内指定的WEB应用系统进行WEB安全测试，测试内容至少包括OWASP TOP10和已知的大部分市面公布漏洞。以模拟黑客操作行为对用户的WEB应用系统进行模拟攻击或入侵，利用信息安全服务工程师的专业知识来识别用户信息系统的已知和未知漏洞。提供WEB安全测试报告和修复建议。</w:t>
            </w:r>
          </w:p>
          <w:p w14:paraId="68C2C38E">
            <w:pPr>
              <w:widowControl/>
              <w:jc w:val="left"/>
              <w:textAlignment w:val="center"/>
              <w:rPr>
                <w:rFonts w:ascii="宋体" w:hAnsi="宋体"/>
              </w:rPr>
            </w:pPr>
            <w:r>
              <w:rPr>
                <w:rFonts w:hint="eastAsia" w:ascii="宋体" w:hAnsi="宋体"/>
                <w:kern w:val="0"/>
                <w:lang w:bidi="ar"/>
              </w:rPr>
              <w:t>2、跟进WEB安全测试结果，闭环协助处置发现的WEB安全问题。</w:t>
            </w:r>
          </w:p>
        </w:tc>
        <w:tc>
          <w:tcPr>
            <w:tcW w:w="261" w:type="pct"/>
            <w:shd w:val="clear" w:color="auto" w:fill="FFFFFF"/>
            <w:tcMar>
              <w:top w:w="10" w:type="dxa"/>
              <w:left w:w="10" w:type="dxa"/>
              <w:right w:w="10" w:type="dxa"/>
            </w:tcMar>
            <w:vAlign w:val="center"/>
          </w:tcPr>
          <w:p w14:paraId="1005F280">
            <w:pPr>
              <w:widowControl/>
              <w:jc w:val="center"/>
              <w:textAlignment w:val="center"/>
              <w:rPr>
                <w:rFonts w:ascii="宋体" w:hAnsi="宋体"/>
              </w:rPr>
            </w:pPr>
            <w:r>
              <w:rPr>
                <w:rFonts w:hint="eastAsia" w:ascii="宋体" w:hAnsi="宋体"/>
                <w:kern w:val="0"/>
                <w:lang w:bidi="ar"/>
              </w:rPr>
              <w:t>4</w:t>
            </w:r>
          </w:p>
        </w:tc>
        <w:tc>
          <w:tcPr>
            <w:tcW w:w="302" w:type="pct"/>
            <w:tcMar>
              <w:top w:w="10" w:type="dxa"/>
              <w:left w:w="10" w:type="dxa"/>
              <w:right w:w="10" w:type="dxa"/>
            </w:tcMar>
            <w:vAlign w:val="center"/>
          </w:tcPr>
          <w:p w14:paraId="30C626D0">
            <w:pPr>
              <w:widowControl/>
              <w:jc w:val="center"/>
              <w:textAlignment w:val="center"/>
              <w:rPr>
                <w:rFonts w:ascii="宋体" w:hAnsi="宋体"/>
              </w:rPr>
            </w:pPr>
            <w:r>
              <w:rPr>
                <w:rFonts w:hint="eastAsia" w:ascii="宋体" w:hAnsi="宋体"/>
                <w:kern w:val="0"/>
                <w:lang w:bidi="ar"/>
              </w:rPr>
              <w:t>次</w:t>
            </w:r>
          </w:p>
        </w:tc>
        <w:tc>
          <w:tcPr>
            <w:tcW w:w="981" w:type="pct"/>
            <w:tcMar>
              <w:top w:w="10" w:type="dxa"/>
              <w:left w:w="10" w:type="dxa"/>
              <w:right w:w="10" w:type="dxa"/>
            </w:tcMar>
            <w:vAlign w:val="center"/>
          </w:tcPr>
          <w:p w14:paraId="0838BE73">
            <w:pPr>
              <w:widowControl/>
              <w:jc w:val="center"/>
              <w:textAlignment w:val="center"/>
              <w:rPr>
                <w:rFonts w:ascii="宋体" w:hAnsi="宋体"/>
              </w:rPr>
            </w:pPr>
            <w:r>
              <w:rPr>
                <w:rFonts w:hint="eastAsia" w:ascii="宋体" w:hAnsi="宋体"/>
                <w:kern w:val="0"/>
                <w:lang w:bidi="ar"/>
              </w:rPr>
              <w:t>《渗透测试报告》</w:t>
            </w:r>
          </w:p>
        </w:tc>
      </w:tr>
      <w:tr w14:paraId="3D0C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361EABA7">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7AE7B48E">
            <w:pPr>
              <w:widowControl/>
              <w:jc w:val="center"/>
              <w:textAlignment w:val="center"/>
              <w:rPr>
                <w:rFonts w:ascii="宋体" w:hAnsi="宋体"/>
                <w:kern w:val="0"/>
                <w:lang w:bidi="ar"/>
              </w:rPr>
            </w:pPr>
            <w:r>
              <w:rPr>
                <w:rFonts w:hint="eastAsia" w:ascii="宋体" w:hAnsi="宋体"/>
                <w:kern w:val="0"/>
                <w:lang w:bidi="ar"/>
              </w:rPr>
              <w:t>内网</w:t>
            </w:r>
            <w:r>
              <w:rPr>
                <w:rFonts w:ascii="宋体" w:hAnsi="宋体"/>
                <w:kern w:val="0"/>
                <w:lang w:bidi="ar"/>
              </w:rPr>
              <w:t>安全评估服务</w:t>
            </w:r>
          </w:p>
        </w:tc>
        <w:tc>
          <w:tcPr>
            <w:tcW w:w="793" w:type="pct"/>
            <w:shd w:val="clear" w:color="auto" w:fill="FFFFFF"/>
            <w:tcMar>
              <w:top w:w="10" w:type="dxa"/>
              <w:left w:w="10" w:type="dxa"/>
              <w:right w:w="10" w:type="dxa"/>
            </w:tcMar>
            <w:vAlign w:val="center"/>
          </w:tcPr>
          <w:p w14:paraId="5313738A">
            <w:pPr>
              <w:widowControl/>
              <w:jc w:val="left"/>
              <w:textAlignment w:val="center"/>
              <w:rPr>
                <w:rFonts w:ascii="宋体" w:hAnsi="宋体"/>
                <w:kern w:val="0"/>
                <w:lang w:bidi="ar"/>
              </w:rPr>
            </w:pPr>
            <w:r>
              <w:rPr>
                <w:rFonts w:hint="eastAsia" w:ascii="宋体" w:hAnsi="宋体"/>
                <w:kern w:val="0"/>
                <w:lang w:bidi="ar"/>
              </w:rPr>
              <w:t>医院内网系统</w:t>
            </w:r>
          </w:p>
          <w:p w14:paraId="1925F459">
            <w:pPr>
              <w:widowControl/>
              <w:jc w:val="center"/>
              <w:textAlignment w:val="center"/>
              <w:rPr>
                <w:rFonts w:ascii="宋体" w:hAnsi="宋体"/>
                <w:kern w:val="0"/>
                <w:lang w:bidi="ar"/>
              </w:rPr>
            </w:pPr>
            <w:r>
              <w:rPr>
                <w:rFonts w:hint="eastAsia" w:ascii="宋体" w:hAnsi="宋体"/>
                <w:kern w:val="0"/>
                <w:lang w:bidi="ar"/>
              </w:rPr>
              <w:t>（HIS、EMR、PACS、LIS、集成平台、公共显示大盘播控系统、临床服务系统、医疗管理系统、运营管理系统、胸痛系统、心电系统、血液透析管理系统、OA、财务系统、输血系统、急诊预检分诊、医院感染实时监控系统、医院决策支持系统等）</w:t>
            </w:r>
          </w:p>
        </w:tc>
        <w:tc>
          <w:tcPr>
            <w:tcW w:w="1582" w:type="pct"/>
            <w:shd w:val="clear" w:color="auto" w:fill="FFFFFF"/>
            <w:tcMar>
              <w:top w:w="10" w:type="dxa"/>
              <w:left w:w="10" w:type="dxa"/>
              <w:right w:w="10" w:type="dxa"/>
            </w:tcMar>
            <w:vAlign w:val="center"/>
          </w:tcPr>
          <w:p w14:paraId="2B3A950E">
            <w:pPr>
              <w:widowControl/>
              <w:jc w:val="left"/>
              <w:textAlignment w:val="center"/>
              <w:rPr>
                <w:rFonts w:ascii="宋体" w:hAnsi="宋体"/>
                <w:kern w:val="0"/>
                <w:lang w:bidi="ar"/>
              </w:rPr>
            </w:pPr>
            <w:r>
              <w:rPr>
                <w:rFonts w:ascii="宋体" w:hAnsi="宋体" w:cs="宋体"/>
                <w:sz w:val="24"/>
              </w:rPr>
              <w:t>针对</w:t>
            </w:r>
            <w:r>
              <w:rPr>
                <w:rFonts w:hint="eastAsia" w:ascii="宋体" w:hAnsi="宋体" w:cs="宋体"/>
                <w:sz w:val="24"/>
              </w:rPr>
              <w:t>院</w:t>
            </w:r>
            <w:r>
              <w:rPr>
                <w:rFonts w:ascii="宋体" w:hAnsi="宋体" w:cs="宋体"/>
                <w:sz w:val="24"/>
              </w:rPr>
              <w:t>内内网重要业务系统所在内网环境组织内网攻防专家，利用主流的攻击技术和工具对目标网络防御情况、内网信息系统、数据库、服务器安全状况，模拟黑客已通过手段获得进入内网通道，对内网进行摸底盘查，获得内网其他权限，以获取内网重要业务系统权限为目的，寻找可能的攻击途径与安全漏洞，并将发现的安全漏洞进行整理分析，针对每一个安全漏洞提供相应的解决建议</w:t>
            </w:r>
          </w:p>
        </w:tc>
        <w:tc>
          <w:tcPr>
            <w:tcW w:w="261" w:type="pct"/>
            <w:shd w:val="clear" w:color="auto" w:fill="FFFFFF"/>
            <w:tcMar>
              <w:top w:w="10" w:type="dxa"/>
              <w:left w:w="10" w:type="dxa"/>
              <w:right w:w="10" w:type="dxa"/>
            </w:tcMar>
            <w:vAlign w:val="center"/>
          </w:tcPr>
          <w:p w14:paraId="690F4CC1">
            <w:pPr>
              <w:widowControl/>
              <w:jc w:val="center"/>
              <w:textAlignment w:val="center"/>
              <w:rPr>
                <w:rFonts w:ascii="宋体" w:hAnsi="宋体"/>
                <w:kern w:val="0"/>
                <w:lang w:bidi="ar"/>
              </w:rPr>
            </w:pPr>
            <w:r>
              <w:rPr>
                <w:rFonts w:hint="eastAsia" w:ascii="宋体" w:hAnsi="宋体"/>
                <w:kern w:val="0"/>
                <w:lang w:bidi="ar"/>
              </w:rPr>
              <w:t>2</w:t>
            </w:r>
          </w:p>
        </w:tc>
        <w:tc>
          <w:tcPr>
            <w:tcW w:w="302" w:type="pct"/>
            <w:tcMar>
              <w:top w:w="10" w:type="dxa"/>
              <w:left w:w="10" w:type="dxa"/>
              <w:right w:w="10" w:type="dxa"/>
            </w:tcMar>
            <w:vAlign w:val="center"/>
          </w:tcPr>
          <w:p w14:paraId="4525B2AE">
            <w:pPr>
              <w:widowControl/>
              <w:jc w:val="center"/>
              <w:textAlignment w:val="center"/>
              <w:rPr>
                <w:rFonts w:ascii="宋体" w:hAnsi="宋体"/>
                <w:kern w:val="0"/>
                <w:lang w:bidi="ar"/>
              </w:rPr>
            </w:pPr>
            <w:r>
              <w:rPr>
                <w:rFonts w:hint="eastAsia" w:ascii="宋体" w:hAnsi="宋体"/>
                <w:kern w:val="0"/>
                <w:lang w:bidi="ar"/>
              </w:rPr>
              <w:t>次</w:t>
            </w:r>
          </w:p>
        </w:tc>
        <w:tc>
          <w:tcPr>
            <w:tcW w:w="981" w:type="pct"/>
            <w:tcMar>
              <w:top w:w="10" w:type="dxa"/>
              <w:left w:w="10" w:type="dxa"/>
              <w:right w:w="10" w:type="dxa"/>
            </w:tcMar>
            <w:vAlign w:val="center"/>
          </w:tcPr>
          <w:p w14:paraId="18FD9292">
            <w:pPr>
              <w:widowControl/>
              <w:jc w:val="center"/>
              <w:textAlignment w:val="center"/>
              <w:rPr>
                <w:rFonts w:ascii="宋体" w:hAnsi="宋体"/>
                <w:kern w:val="0"/>
                <w:lang w:bidi="ar"/>
              </w:rPr>
            </w:pPr>
            <w:r>
              <w:rPr>
                <w:rFonts w:hint="eastAsia" w:ascii="宋体" w:hAnsi="宋体"/>
                <w:kern w:val="0"/>
                <w:lang w:bidi="ar"/>
              </w:rPr>
              <w:t>《内网</w:t>
            </w:r>
            <w:r>
              <w:rPr>
                <w:rFonts w:ascii="宋体" w:hAnsi="宋体"/>
                <w:kern w:val="0"/>
                <w:lang w:bidi="ar"/>
              </w:rPr>
              <w:t>安全评估报告</w:t>
            </w:r>
            <w:r>
              <w:rPr>
                <w:rFonts w:hint="eastAsia" w:ascii="宋体" w:hAnsi="宋体"/>
                <w:kern w:val="0"/>
                <w:lang w:bidi="ar"/>
              </w:rPr>
              <w:t>》</w:t>
            </w:r>
          </w:p>
        </w:tc>
      </w:tr>
      <w:tr w14:paraId="7CB5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50D3764A">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7BD3F753">
            <w:pPr>
              <w:widowControl/>
              <w:jc w:val="center"/>
              <w:textAlignment w:val="center"/>
              <w:rPr>
                <w:rFonts w:ascii="宋体" w:hAnsi="宋体"/>
              </w:rPr>
            </w:pPr>
            <w:r>
              <w:rPr>
                <w:rFonts w:hint="eastAsia" w:ascii="宋体" w:hAnsi="宋体"/>
                <w:kern w:val="0"/>
                <w:lang w:bidi="ar"/>
              </w:rPr>
              <w:t>安全加固协助服务</w:t>
            </w:r>
          </w:p>
        </w:tc>
        <w:tc>
          <w:tcPr>
            <w:tcW w:w="793" w:type="pct"/>
            <w:shd w:val="clear" w:color="auto" w:fill="FFFFFF"/>
            <w:tcMar>
              <w:top w:w="10" w:type="dxa"/>
              <w:left w:w="10" w:type="dxa"/>
              <w:right w:w="10" w:type="dxa"/>
            </w:tcMar>
            <w:vAlign w:val="center"/>
          </w:tcPr>
          <w:p w14:paraId="2B7E5CEA">
            <w:pPr>
              <w:widowControl/>
              <w:jc w:val="center"/>
              <w:textAlignment w:val="center"/>
              <w:rPr>
                <w:rFonts w:ascii="宋体" w:hAnsi="宋体"/>
              </w:rPr>
            </w:pPr>
            <w:r>
              <w:rPr>
                <w:rFonts w:hint="eastAsia" w:ascii="宋体" w:hAnsi="宋体"/>
                <w:kern w:val="0"/>
                <w:lang w:bidi="ar"/>
              </w:rPr>
              <w:t>医院内部信息系统网络安全事件</w:t>
            </w:r>
          </w:p>
        </w:tc>
        <w:tc>
          <w:tcPr>
            <w:tcW w:w="1582" w:type="pct"/>
            <w:shd w:val="clear" w:color="auto" w:fill="FFFFFF"/>
            <w:tcMar>
              <w:top w:w="10" w:type="dxa"/>
              <w:left w:w="10" w:type="dxa"/>
              <w:right w:w="10" w:type="dxa"/>
            </w:tcMar>
            <w:vAlign w:val="center"/>
          </w:tcPr>
          <w:p w14:paraId="7EDC9D38">
            <w:pPr>
              <w:widowControl/>
              <w:jc w:val="left"/>
              <w:textAlignment w:val="center"/>
              <w:rPr>
                <w:rFonts w:ascii="宋体" w:hAnsi="宋体"/>
              </w:rPr>
            </w:pPr>
            <w:r>
              <w:rPr>
                <w:rFonts w:hint="eastAsia" w:ascii="宋体" w:hAnsi="宋体"/>
                <w:kern w:val="0"/>
                <w:lang w:bidi="ar"/>
              </w:rPr>
              <w:t>针对安全扫描服务、基线检查服务或是客户单位提供的安全漏洞报告中发现的安全漏洞和配置缺陷，提供加固意见和实施报告，配合客户完成配置修复。</w:t>
            </w:r>
          </w:p>
        </w:tc>
        <w:tc>
          <w:tcPr>
            <w:tcW w:w="261" w:type="pct"/>
            <w:shd w:val="clear" w:color="auto" w:fill="FFFFFF"/>
            <w:tcMar>
              <w:top w:w="10" w:type="dxa"/>
              <w:left w:w="10" w:type="dxa"/>
              <w:right w:w="10" w:type="dxa"/>
            </w:tcMar>
            <w:vAlign w:val="center"/>
          </w:tcPr>
          <w:p w14:paraId="3B97BD5F">
            <w:pPr>
              <w:widowControl/>
              <w:jc w:val="center"/>
              <w:textAlignment w:val="center"/>
              <w:rPr>
                <w:rFonts w:ascii="宋体" w:hAnsi="宋体"/>
              </w:rPr>
            </w:pPr>
            <w:r>
              <w:rPr>
                <w:rFonts w:hint="eastAsia" w:ascii="宋体" w:hAnsi="宋体"/>
                <w:kern w:val="0"/>
                <w:lang w:bidi="ar"/>
              </w:rPr>
              <w:t>4</w:t>
            </w:r>
          </w:p>
        </w:tc>
        <w:tc>
          <w:tcPr>
            <w:tcW w:w="302" w:type="pct"/>
            <w:tcMar>
              <w:top w:w="10" w:type="dxa"/>
              <w:left w:w="10" w:type="dxa"/>
              <w:right w:w="10" w:type="dxa"/>
            </w:tcMar>
            <w:vAlign w:val="center"/>
          </w:tcPr>
          <w:p w14:paraId="727EDF40">
            <w:pPr>
              <w:widowControl/>
              <w:jc w:val="center"/>
              <w:textAlignment w:val="center"/>
              <w:rPr>
                <w:rFonts w:ascii="宋体" w:hAnsi="宋体"/>
              </w:rPr>
            </w:pPr>
            <w:r>
              <w:rPr>
                <w:rFonts w:hint="eastAsia" w:ascii="宋体" w:hAnsi="宋体"/>
                <w:kern w:val="0"/>
                <w:lang w:bidi="ar"/>
              </w:rPr>
              <w:t>次</w:t>
            </w:r>
          </w:p>
        </w:tc>
        <w:tc>
          <w:tcPr>
            <w:tcW w:w="981" w:type="pct"/>
            <w:tcMar>
              <w:top w:w="10" w:type="dxa"/>
              <w:left w:w="10" w:type="dxa"/>
              <w:right w:w="10" w:type="dxa"/>
            </w:tcMar>
            <w:vAlign w:val="center"/>
          </w:tcPr>
          <w:p w14:paraId="1B812094">
            <w:pPr>
              <w:widowControl/>
              <w:jc w:val="center"/>
              <w:textAlignment w:val="center"/>
              <w:rPr>
                <w:rFonts w:ascii="宋体" w:hAnsi="宋体"/>
              </w:rPr>
            </w:pPr>
            <w:r>
              <w:rPr>
                <w:rFonts w:hint="eastAsia" w:ascii="宋体" w:hAnsi="宋体"/>
                <w:kern w:val="0"/>
                <w:lang w:bidi="ar"/>
              </w:rPr>
              <w:t>《安全加固实施报告》</w:t>
            </w:r>
          </w:p>
        </w:tc>
      </w:tr>
      <w:tr w14:paraId="28E0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61A9238C">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3F952013">
            <w:pPr>
              <w:widowControl/>
              <w:jc w:val="center"/>
              <w:textAlignment w:val="center"/>
              <w:rPr>
                <w:rFonts w:ascii="宋体" w:hAnsi="宋体"/>
              </w:rPr>
            </w:pPr>
            <w:r>
              <w:rPr>
                <w:rFonts w:hint="eastAsia" w:ascii="宋体" w:hAnsi="宋体"/>
                <w:kern w:val="0"/>
                <w:lang w:bidi="ar"/>
              </w:rPr>
              <w:t>安全检查支持</w:t>
            </w:r>
          </w:p>
        </w:tc>
        <w:tc>
          <w:tcPr>
            <w:tcW w:w="793" w:type="pct"/>
            <w:shd w:val="clear" w:color="auto" w:fill="FFFFFF"/>
            <w:tcMar>
              <w:top w:w="10" w:type="dxa"/>
              <w:left w:w="10" w:type="dxa"/>
              <w:right w:w="10" w:type="dxa"/>
            </w:tcMar>
            <w:vAlign w:val="center"/>
          </w:tcPr>
          <w:p w14:paraId="1460C305">
            <w:pPr>
              <w:widowControl/>
              <w:jc w:val="center"/>
              <w:textAlignment w:val="center"/>
              <w:rPr>
                <w:rFonts w:ascii="宋体" w:hAnsi="宋体"/>
              </w:rPr>
            </w:pPr>
            <w:r>
              <w:rPr>
                <w:rFonts w:hint="eastAsia" w:ascii="宋体" w:hAnsi="宋体"/>
                <w:kern w:val="0"/>
                <w:lang w:bidi="ar"/>
              </w:rPr>
              <w:t>上级部门网络安全检查事件</w:t>
            </w:r>
          </w:p>
        </w:tc>
        <w:tc>
          <w:tcPr>
            <w:tcW w:w="1582" w:type="pct"/>
            <w:shd w:val="clear" w:color="auto" w:fill="FFFFFF"/>
            <w:tcMar>
              <w:top w:w="10" w:type="dxa"/>
              <w:left w:w="10" w:type="dxa"/>
              <w:right w:w="10" w:type="dxa"/>
            </w:tcMar>
            <w:vAlign w:val="center"/>
          </w:tcPr>
          <w:p w14:paraId="010450EE">
            <w:pPr>
              <w:widowControl/>
              <w:jc w:val="left"/>
              <w:textAlignment w:val="center"/>
              <w:rPr>
                <w:rFonts w:ascii="宋体" w:hAnsi="宋体"/>
              </w:rPr>
            </w:pPr>
            <w:r>
              <w:rPr>
                <w:rFonts w:hint="eastAsia" w:ascii="宋体" w:hAnsi="宋体"/>
                <w:kern w:val="0"/>
                <w:lang w:bidi="ar"/>
              </w:rPr>
              <w:t>在安全主管部门或上级部门开展网络安全检查、电子病历评级、智慧医院评级、互联互通评级时，配合客户单位应对网络安全检查。主要工作包括：检查前准备工作协助、检查时技术支撑、检查后整改工作协助。</w:t>
            </w:r>
          </w:p>
        </w:tc>
        <w:tc>
          <w:tcPr>
            <w:tcW w:w="261" w:type="pct"/>
            <w:shd w:val="clear" w:color="auto" w:fill="FFFFFF"/>
            <w:tcMar>
              <w:top w:w="10" w:type="dxa"/>
              <w:left w:w="10" w:type="dxa"/>
              <w:right w:w="10" w:type="dxa"/>
            </w:tcMar>
            <w:vAlign w:val="center"/>
          </w:tcPr>
          <w:p w14:paraId="4E861E81">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74FE1EA2">
            <w:pPr>
              <w:widowControl/>
              <w:jc w:val="center"/>
              <w:textAlignment w:val="center"/>
              <w:rPr>
                <w:rFonts w:ascii="宋体" w:hAnsi="宋体"/>
              </w:rPr>
            </w:pPr>
            <w:r>
              <w:rPr>
                <w:rFonts w:hint="eastAsia" w:ascii="宋体" w:hAnsi="宋体"/>
                <w:kern w:val="0"/>
                <w:lang w:bidi="ar"/>
              </w:rPr>
              <w:t>年</w:t>
            </w:r>
          </w:p>
        </w:tc>
        <w:tc>
          <w:tcPr>
            <w:tcW w:w="981" w:type="pct"/>
            <w:tcMar>
              <w:top w:w="10" w:type="dxa"/>
              <w:left w:w="10" w:type="dxa"/>
              <w:right w:w="10" w:type="dxa"/>
            </w:tcMar>
            <w:vAlign w:val="center"/>
          </w:tcPr>
          <w:p w14:paraId="0CD1ACCF">
            <w:pPr>
              <w:widowControl/>
              <w:jc w:val="center"/>
              <w:textAlignment w:val="center"/>
              <w:rPr>
                <w:rFonts w:ascii="宋体" w:hAnsi="宋体"/>
              </w:rPr>
            </w:pPr>
            <w:r>
              <w:rPr>
                <w:rFonts w:hint="eastAsia" w:ascii="宋体" w:hAnsi="宋体"/>
                <w:kern w:val="0"/>
                <w:lang w:bidi="ar"/>
              </w:rPr>
              <w:t>《自查报告》</w:t>
            </w:r>
          </w:p>
        </w:tc>
      </w:tr>
      <w:tr w14:paraId="0BEB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4C6A40A7">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546D437D">
            <w:pPr>
              <w:widowControl/>
              <w:jc w:val="center"/>
              <w:textAlignment w:val="center"/>
              <w:rPr>
                <w:rFonts w:ascii="宋体" w:hAnsi="宋体"/>
              </w:rPr>
            </w:pPr>
            <w:r>
              <w:rPr>
                <w:rFonts w:hint="eastAsia" w:ascii="宋体" w:hAnsi="宋体"/>
                <w:kern w:val="0"/>
                <w:lang w:bidi="ar"/>
              </w:rPr>
              <w:t>安全意识宣传</w:t>
            </w:r>
          </w:p>
        </w:tc>
        <w:tc>
          <w:tcPr>
            <w:tcW w:w="793" w:type="pct"/>
            <w:shd w:val="clear" w:color="auto" w:fill="FFFFFF"/>
            <w:tcMar>
              <w:top w:w="10" w:type="dxa"/>
              <w:left w:w="10" w:type="dxa"/>
              <w:right w:w="10" w:type="dxa"/>
            </w:tcMar>
            <w:vAlign w:val="center"/>
          </w:tcPr>
          <w:p w14:paraId="4614A609">
            <w:pPr>
              <w:widowControl/>
              <w:jc w:val="center"/>
              <w:textAlignment w:val="center"/>
              <w:rPr>
                <w:rFonts w:ascii="宋体" w:hAnsi="宋体"/>
              </w:rPr>
            </w:pPr>
            <w:r>
              <w:rPr>
                <w:rFonts w:hint="eastAsia" w:ascii="宋体" w:hAnsi="宋体"/>
                <w:kern w:val="0"/>
                <w:lang w:bidi="ar"/>
              </w:rPr>
              <w:t>网络安全意识、网络安全宣传周</w:t>
            </w:r>
          </w:p>
        </w:tc>
        <w:tc>
          <w:tcPr>
            <w:tcW w:w="1582" w:type="pct"/>
            <w:shd w:val="clear" w:color="auto" w:fill="FFFFFF"/>
            <w:tcMar>
              <w:top w:w="10" w:type="dxa"/>
              <w:left w:w="10" w:type="dxa"/>
              <w:right w:w="10" w:type="dxa"/>
            </w:tcMar>
            <w:vAlign w:val="center"/>
          </w:tcPr>
          <w:p w14:paraId="6CA1E180">
            <w:pPr>
              <w:widowControl/>
              <w:jc w:val="left"/>
              <w:textAlignment w:val="center"/>
              <w:rPr>
                <w:rFonts w:ascii="宋体" w:hAnsi="宋体"/>
              </w:rPr>
            </w:pPr>
            <w:r>
              <w:rPr>
                <w:rFonts w:hint="eastAsia" w:ascii="宋体" w:hAnsi="宋体"/>
                <w:kern w:val="0"/>
                <w:lang w:bidi="ar"/>
              </w:rPr>
              <w:t>为医院指定人员开展安全意识培训讲演，培养员工网络安全意识。针对</w:t>
            </w:r>
            <w:r>
              <w:rPr>
                <w:rFonts w:ascii="宋体" w:hAnsi="宋体"/>
                <w:kern w:val="0"/>
                <w:lang w:bidi="ar"/>
              </w:rPr>
              <w:t>信息部人员进行攻防技能培训，在</w:t>
            </w:r>
            <w:r>
              <w:rPr>
                <w:rFonts w:hint="eastAsia" w:ascii="宋体" w:hAnsi="宋体"/>
                <w:kern w:val="0"/>
                <w:lang w:bidi="ar"/>
              </w:rPr>
              <w:t>国家网络安全宣传周期间协助开展相关活动。</w:t>
            </w:r>
          </w:p>
        </w:tc>
        <w:tc>
          <w:tcPr>
            <w:tcW w:w="261" w:type="pct"/>
            <w:shd w:val="clear" w:color="auto" w:fill="FFFFFF"/>
            <w:tcMar>
              <w:top w:w="10" w:type="dxa"/>
              <w:left w:w="10" w:type="dxa"/>
              <w:right w:w="10" w:type="dxa"/>
            </w:tcMar>
            <w:vAlign w:val="center"/>
          </w:tcPr>
          <w:p w14:paraId="347E30DF">
            <w:pPr>
              <w:widowControl/>
              <w:jc w:val="center"/>
              <w:textAlignment w:val="center"/>
              <w:rPr>
                <w:rFonts w:ascii="宋体" w:hAnsi="宋体"/>
              </w:rPr>
            </w:pPr>
            <w:r>
              <w:rPr>
                <w:rFonts w:hint="eastAsia" w:ascii="宋体" w:hAnsi="宋体"/>
                <w:kern w:val="0"/>
                <w:lang w:bidi="ar"/>
              </w:rPr>
              <w:t>4</w:t>
            </w:r>
          </w:p>
        </w:tc>
        <w:tc>
          <w:tcPr>
            <w:tcW w:w="302" w:type="pct"/>
            <w:tcMar>
              <w:top w:w="10" w:type="dxa"/>
              <w:left w:w="10" w:type="dxa"/>
              <w:right w:w="10" w:type="dxa"/>
            </w:tcMar>
            <w:vAlign w:val="center"/>
          </w:tcPr>
          <w:p w14:paraId="714DD47B">
            <w:pPr>
              <w:widowControl/>
              <w:jc w:val="center"/>
              <w:textAlignment w:val="center"/>
              <w:rPr>
                <w:rFonts w:ascii="宋体" w:hAnsi="宋体"/>
              </w:rPr>
            </w:pPr>
            <w:r>
              <w:rPr>
                <w:rFonts w:hint="eastAsia" w:ascii="宋体" w:hAnsi="宋体"/>
                <w:kern w:val="0"/>
              </w:rPr>
              <w:t>次/</w:t>
            </w:r>
            <w:r>
              <w:rPr>
                <w:rFonts w:hint="eastAsia" w:ascii="宋体" w:hAnsi="宋体"/>
                <w:kern w:val="0"/>
                <w:lang w:bidi="ar"/>
              </w:rPr>
              <w:t>年</w:t>
            </w:r>
          </w:p>
        </w:tc>
        <w:tc>
          <w:tcPr>
            <w:tcW w:w="981" w:type="pct"/>
            <w:tcMar>
              <w:top w:w="10" w:type="dxa"/>
              <w:left w:w="10" w:type="dxa"/>
              <w:right w:w="10" w:type="dxa"/>
            </w:tcMar>
            <w:vAlign w:val="center"/>
          </w:tcPr>
          <w:p w14:paraId="64E9C44E">
            <w:pPr>
              <w:widowControl/>
              <w:jc w:val="center"/>
              <w:textAlignment w:val="center"/>
              <w:rPr>
                <w:rFonts w:ascii="宋体" w:hAnsi="宋体"/>
              </w:rPr>
            </w:pPr>
            <w:r>
              <w:rPr>
                <w:rFonts w:hint="eastAsia" w:ascii="宋体" w:hAnsi="宋体"/>
                <w:kern w:val="0"/>
                <w:lang w:bidi="ar"/>
              </w:rPr>
              <w:t>安全意识培训PPT</w:t>
            </w:r>
          </w:p>
        </w:tc>
      </w:tr>
      <w:tr w14:paraId="798B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538986E8">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269ACCBB">
            <w:pPr>
              <w:widowControl/>
              <w:jc w:val="left"/>
              <w:textAlignment w:val="center"/>
              <w:rPr>
                <w:rFonts w:ascii="宋体" w:hAnsi="宋体"/>
                <w:kern w:val="0"/>
                <w:lang w:bidi="ar"/>
              </w:rPr>
            </w:pPr>
            <w:r>
              <w:rPr>
                <w:rFonts w:hint="eastAsia" w:ascii="宋体" w:hAnsi="宋体"/>
                <w:kern w:val="0"/>
                <w:lang w:bidi="ar"/>
              </w:rPr>
              <w:t>攻防支撑</w:t>
            </w:r>
          </w:p>
        </w:tc>
        <w:tc>
          <w:tcPr>
            <w:tcW w:w="793" w:type="pct"/>
            <w:shd w:val="clear" w:color="auto" w:fill="FFFFFF"/>
            <w:tcMar>
              <w:top w:w="10" w:type="dxa"/>
              <w:left w:w="10" w:type="dxa"/>
              <w:right w:w="10" w:type="dxa"/>
            </w:tcMar>
            <w:vAlign w:val="center"/>
          </w:tcPr>
          <w:p w14:paraId="57DBAA2E">
            <w:pPr>
              <w:widowControl/>
              <w:jc w:val="left"/>
              <w:textAlignment w:val="center"/>
              <w:rPr>
                <w:rFonts w:ascii="宋体" w:hAnsi="宋体"/>
                <w:kern w:val="0"/>
                <w:lang w:bidi="ar"/>
              </w:rPr>
            </w:pPr>
            <w:r>
              <w:rPr>
                <w:rFonts w:hint="eastAsia" w:ascii="宋体" w:hAnsi="宋体"/>
                <w:kern w:val="0"/>
                <w:lang w:bidi="ar"/>
              </w:rPr>
              <w:t>攻防演练支撑</w:t>
            </w:r>
          </w:p>
        </w:tc>
        <w:tc>
          <w:tcPr>
            <w:tcW w:w="1582" w:type="pct"/>
            <w:shd w:val="clear" w:color="auto" w:fill="FFFFFF"/>
            <w:tcMar>
              <w:top w:w="10" w:type="dxa"/>
              <w:left w:w="10" w:type="dxa"/>
              <w:right w:w="10" w:type="dxa"/>
            </w:tcMar>
            <w:vAlign w:val="center"/>
          </w:tcPr>
          <w:p w14:paraId="03E798C5">
            <w:pPr>
              <w:widowControl/>
              <w:jc w:val="left"/>
              <w:textAlignment w:val="center"/>
              <w:rPr>
                <w:rFonts w:ascii="宋体" w:hAnsi="宋体"/>
                <w:kern w:val="0"/>
                <w:lang w:bidi="ar"/>
              </w:rPr>
            </w:pPr>
            <w:r>
              <w:rPr>
                <w:rFonts w:hint="eastAsia" w:ascii="宋体" w:hAnsi="宋体"/>
                <w:kern w:val="0"/>
                <w:lang w:bidi="ar"/>
              </w:rPr>
              <w:t>针对上级攻防演练，做相应的攻防演练支撑。</w:t>
            </w:r>
          </w:p>
        </w:tc>
        <w:tc>
          <w:tcPr>
            <w:tcW w:w="261" w:type="pct"/>
            <w:shd w:val="clear" w:color="auto" w:fill="FFFFFF"/>
            <w:tcMar>
              <w:top w:w="10" w:type="dxa"/>
              <w:left w:w="10" w:type="dxa"/>
              <w:right w:w="10" w:type="dxa"/>
            </w:tcMar>
            <w:vAlign w:val="center"/>
          </w:tcPr>
          <w:p w14:paraId="2C5B3CFC">
            <w:pPr>
              <w:widowControl/>
              <w:jc w:val="left"/>
              <w:textAlignment w:val="center"/>
              <w:rPr>
                <w:rFonts w:ascii="宋体" w:hAnsi="宋体"/>
                <w:kern w:val="0"/>
                <w:lang w:bidi="ar"/>
              </w:rPr>
            </w:pPr>
          </w:p>
        </w:tc>
        <w:tc>
          <w:tcPr>
            <w:tcW w:w="302" w:type="pct"/>
            <w:tcMar>
              <w:top w:w="10" w:type="dxa"/>
              <w:left w:w="10" w:type="dxa"/>
              <w:right w:w="10" w:type="dxa"/>
            </w:tcMar>
            <w:vAlign w:val="center"/>
          </w:tcPr>
          <w:p w14:paraId="51D0AF13">
            <w:pPr>
              <w:widowControl/>
              <w:jc w:val="left"/>
              <w:textAlignment w:val="center"/>
              <w:rPr>
                <w:rFonts w:ascii="宋体" w:hAnsi="宋体"/>
                <w:kern w:val="0"/>
                <w:lang w:bidi="ar"/>
              </w:rPr>
            </w:pPr>
            <w:r>
              <w:rPr>
                <w:rFonts w:hint="eastAsia" w:ascii="宋体" w:hAnsi="宋体"/>
                <w:kern w:val="0"/>
                <w:lang w:bidi="ar"/>
              </w:rPr>
              <w:t>年</w:t>
            </w:r>
          </w:p>
        </w:tc>
        <w:tc>
          <w:tcPr>
            <w:tcW w:w="981" w:type="pct"/>
            <w:tcMar>
              <w:top w:w="10" w:type="dxa"/>
              <w:left w:w="10" w:type="dxa"/>
              <w:right w:w="10" w:type="dxa"/>
            </w:tcMar>
            <w:vAlign w:val="center"/>
          </w:tcPr>
          <w:p w14:paraId="3D4CC31F">
            <w:pPr>
              <w:widowControl/>
              <w:jc w:val="left"/>
              <w:textAlignment w:val="center"/>
              <w:rPr>
                <w:rFonts w:ascii="宋体" w:hAnsi="宋体"/>
                <w:kern w:val="0"/>
                <w:lang w:bidi="ar"/>
              </w:rPr>
            </w:pPr>
          </w:p>
        </w:tc>
      </w:tr>
      <w:tr w14:paraId="458A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shd w:val="clear" w:color="auto" w:fill="FFFFFF"/>
          </w:tcPr>
          <w:p w14:paraId="5A679FE7">
            <w:pPr>
              <w:pStyle w:val="10"/>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14:paraId="69837DBF">
            <w:pPr>
              <w:widowControl/>
              <w:jc w:val="center"/>
              <w:textAlignment w:val="center"/>
              <w:rPr>
                <w:rFonts w:ascii="宋体" w:hAnsi="宋体"/>
              </w:rPr>
            </w:pPr>
            <w:r>
              <w:rPr>
                <w:rFonts w:hint="eastAsia" w:ascii="宋体" w:hAnsi="宋体"/>
                <w:kern w:val="0"/>
                <w:lang w:bidi="ar"/>
              </w:rPr>
              <w:t>LED屏幕安全巡检服务</w:t>
            </w:r>
          </w:p>
        </w:tc>
        <w:tc>
          <w:tcPr>
            <w:tcW w:w="793" w:type="pct"/>
            <w:shd w:val="clear" w:color="auto" w:fill="FFFFFF"/>
            <w:tcMar>
              <w:top w:w="10" w:type="dxa"/>
              <w:left w:w="10" w:type="dxa"/>
              <w:right w:w="10" w:type="dxa"/>
            </w:tcMar>
            <w:vAlign w:val="center"/>
          </w:tcPr>
          <w:p w14:paraId="19DA22AB">
            <w:pPr>
              <w:widowControl/>
              <w:jc w:val="center"/>
              <w:rPr>
                <w:rFonts w:ascii="宋体" w:hAnsi="宋体"/>
              </w:rPr>
            </w:pPr>
            <w:r>
              <w:rPr>
                <w:rFonts w:hint="eastAsia" w:ascii="宋体" w:hAnsi="宋体"/>
                <w:kern w:val="0"/>
              </w:rPr>
              <w:t>户外公共电子</w:t>
            </w:r>
            <w:r>
              <w:rPr>
                <w:rFonts w:hint="eastAsia" w:ascii="宋体" w:hAnsi="宋体"/>
                <w:kern w:val="0"/>
                <w:lang w:bidi="ar"/>
              </w:rPr>
              <w:t>屏</w:t>
            </w:r>
            <w:r>
              <w:rPr>
                <w:rFonts w:hint="eastAsia" w:ascii="宋体" w:hAnsi="宋体"/>
                <w:kern w:val="0"/>
              </w:rPr>
              <w:t>显示系统</w:t>
            </w:r>
          </w:p>
        </w:tc>
        <w:tc>
          <w:tcPr>
            <w:tcW w:w="1582" w:type="pct"/>
            <w:shd w:val="clear" w:color="auto" w:fill="FFFFFF"/>
            <w:tcMar>
              <w:top w:w="10" w:type="dxa"/>
              <w:left w:w="10" w:type="dxa"/>
              <w:right w:w="10" w:type="dxa"/>
            </w:tcMar>
            <w:vAlign w:val="center"/>
          </w:tcPr>
          <w:p w14:paraId="0F024BBF">
            <w:pPr>
              <w:widowControl/>
              <w:jc w:val="left"/>
              <w:rPr>
                <w:rFonts w:ascii="宋体" w:hAnsi="宋体"/>
              </w:rPr>
            </w:pPr>
            <w:r>
              <w:rPr>
                <w:rFonts w:hint="eastAsia" w:ascii="宋体" w:hAnsi="宋体"/>
                <w:kern w:val="0"/>
              </w:rPr>
              <w:t>对医院公共显示屏和管理机进行安全巡检提供安全巡检报告。</w:t>
            </w:r>
          </w:p>
        </w:tc>
        <w:tc>
          <w:tcPr>
            <w:tcW w:w="261" w:type="pct"/>
            <w:shd w:val="clear" w:color="auto" w:fill="FFFFFF"/>
            <w:tcMar>
              <w:top w:w="10" w:type="dxa"/>
              <w:left w:w="10" w:type="dxa"/>
              <w:right w:w="10" w:type="dxa"/>
            </w:tcMar>
            <w:vAlign w:val="center"/>
          </w:tcPr>
          <w:p w14:paraId="6E136DF2">
            <w:pPr>
              <w:widowControl/>
              <w:jc w:val="center"/>
              <w:rPr>
                <w:rFonts w:ascii="宋体" w:hAnsi="宋体"/>
              </w:rPr>
            </w:pPr>
            <w:r>
              <w:rPr>
                <w:rFonts w:hint="eastAsia" w:ascii="宋体" w:hAnsi="宋体"/>
                <w:kern w:val="0"/>
              </w:rPr>
              <w:t>2</w:t>
            </w:r>
          </w:p>
        </w:tc>
        <w:tc>
          <w:tcPr>
            <w:tcW w:w="302" w:type="pct"/>
            <w:tcMar>
              <w:top w:w="10" w:type="dxa"/>
              <w:left w:w="10" w:type="dxa"/>
              <w:right w:w="10" w:type="dxa"/>
            </w:tcMar>
            <w:vAlign w:val="center"/>
          </w:tcPr>
          <w:p w14:paraId="511F31DD">
            <w:pPr>
              <w:widowControl/>
              <w:jc w:val="center"/>
              <w:textAlignment w:val="center"/>
              <w:rPr>
                <w:rFonts w:ascii="宋体" w:hAnsi="宋体"/>
              </w:rPr>
            </w:pPr>
            <w:r>
              <w:rPr>
                <w:rFonts w:hint="eastAsia" w:ascii="宋体" w:hAnsi="宋体"/>
                <w:kern w:val="0"/>
              </w:rPr>
              <w:t>次/年</w:t>
            </w:r>
          </w:p>
        </w:tc>
        <w:tc>
          <w:tcPr>
            <w:tcW w:w="981" w:type="pct"/>
            <w:tcMar>
              <w:top w:w="10" w:type="dxa"/>
              <w:left w:w="10" w:type="dxa"/>
              <w:right w:w="10" w:type="dxa"/>
            </w:tcMar>
            <w:vAlign w:val="center"/>
          </w:tcPr>
          <w:p w14:paraId="35A9CB93">
            <w:pPr>
              <w:widowControl/>
              <w:jc w:val="center"/>
              <w:textAlignment w:val="center"/>
              <w:rPr>
                <w:rFonts w:ascii="宋体" w:hAnsi="宋体"/>
              </w:rPr>
            </w:pPr>
            <w:r>
              <w:rPr>
                <w:rFonts w:hint="eastAsia" w:ascii="宋体" w:hAnsi="宋体"/>
                <w:kern w:val="0"/>
                <w:lang w:bidi="ar"/>
              </w:rPr>
              <w:t>LED屏幕安全巡检报告</w:t>
            </w:r>
          </w:p>
        </w:tc>
      </w:tr>
      <w:tr w14:paraId="19AC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26CFE6C4">
            <w:pPr>
              <w:pStyle w:val="10"/>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14:paraId="134CB024">
            <w:pPr>
              <w:widowControl/>
              <w:jc w:val="center"/>
              <w:textAlignment w:val="center"/>
              <w:rPr>
                <w:rFonts w:ascii="宋体" w:hAnsi="宋体"/>
              </w:rPr>
            </w:pPr>
            <w:r>
              <w:rPr>
                <w:rFonts w:hint="eastAsia" w:ascii="宋体" w:hAnsi="宋体"/>
                <w:kern w:val="0"/>
                <w:lang w:bidi="ar"/>
              </w:rPr>
              <w:t>网站安全监控服务</w:t>
            </w:r>
          </w:p>
        </w:tc>
        <w:tc>
          <w:tcPr>
            <w:tcW w:w="793" w:type="pct"/>
            <w:tcMar>
              <w:top w:w="10" w:type="dxa"/>
              <w:left w:w="10" w:type="dxa"/>
              <w:right w:w="10" w:type="dxa"/>
            </w:tcMar>
            <w:vAlign w:val="center"/>
          </w:tcPr>
          <w:p w14:paraId="31EC6B9C">
            <w:pPr>
              <w:widowControl/>
              <w:jc w:val="center"/>
              <w:textAlignment w:val="center"/>
              <w:rPr>
                <w:rFonts w:ascii="宋体" w:hAnsi="宋体"/>
              </w:rPr>
            </w:pPr>
            <w:r>
              <w:rPr>
                <w:rFonts w:hint="eastAsia" w:ascii="宋体" w:hAnsi="宋体"/>
                <w:kern w:val="0"/>
                <w:lang w:bidi="ar"/>
              </w:rPr>
              <w:t>医院门户网站</w:t>
            </w:r>
          </w:p>
        </w:tc>
        <w:tc>
          <w:tcPr>
            <w:tcW w:w="1582" w:type="pct"/>
            <w:tcMar>
              <w:top w:w="10" w:type="dxa"/>
              <w:left w:w="10" w:type="dxa"/>
              <w:right w:w="10" w:type="dxa"/>
            </w:tcMar>
            <w:vAlign w:val="center"/>
          </w:tcPr>
          <w:p w14:paraId="573C7C34">
            <w:pPr>
              <w:pStyle w:val="11"/>
              <w:jc w:val="center"/>
              <w:rPr>
                <w:rFonts w:ascii="Times New Roman"/>
                <w:color w:val="auto"/>
                <w:kern w:val="2"/>
                <w:sz w:val="21"/>
              </w:rPr>
            </w:pPr>
            <w:r>
              <w:rPr>
                <w:rFonts w:hint="eastAsia" w:ascii="Times New Roman"/>
                <w:color w:val="auto"/>
                <w:kern w:val="2"/>
                <w:sz w:val="21"/>
              </w:rPr>
              <w:t>由安全服务提供商，1年365天通过专业的网站安全监控平台实现在线监控并生成相关的告警。</w:t>
            </w:r>
          </w:p>
        </w:tc>
        <w:tc>
          <w:tcPr>
            <w:tcW w:w="261" w:type="pct"/>
            <w:tcMar>
              <w:top w:w="10" w:type="dxa"/>
              <w:left w:w="10" w:type="dxa"/>
              <w:right w:w="10" w:type="dxa"/>
            </w:tcMar>
            <w:vAlign w:val="center"/>
          </w:tcPr>
          <w:p w14:paraId="0574CBE0">
            <w:pPr>
              <w:widowControl/>
              <w:jc w:val="center"/>
              <w:textAlignment w:val="center"/>
              <w:rPr>
                <w:rFonts w:ascii="宋体" w:hAnsi="宋体"/>
              </w:rPr>
            </w:pPr>
            <w:r>
              <w:rPr>
                <w:rFonts w:hint="eastAsia" w:ascii="宋体" w:hAnsi="宋体"/>
                <w:kern w:val="0"/>
                <w:lang w:bidi="ar"/>
              </w:rPr>
              <w:t>1</w:t>
            </w:r>
          </w:p>
        </w:tc>
        <w:tc>
          <w:tcPr>
            <w:tcW w:w="302" w:type="pct"/>
            <w:tcMar>
              <w:top w:w="10" w:type="dxa"/>
              <w:left w:w="10" w:type="dxa"/>
              <w:right w:w="10" w:type="dxa"/>
            </w:tcMar>
            <w:vAlign w:val="center"/>
          </w:tcPr>
          <w:p w14:paraId="54DF02B8">
            <w:pPr>
              <w:widowControl/>
              <w:jc w:val="center"/>
              <w:textAlignment w:val="center"/>
              <w:rPr>
                <w:rFonts w:ascii="宋体" w:hAnsi="宋体"/>
              </w:rPr>
            </w:pPr>
            <w:r>
              <w:rPr>
                <w:rFonts w:hint="eastAsia" w:ascii="宋体" w:hAnsi="宋体"/>
                <w:kern w:val="0"/>
                <w:lang w:bidi="ar"/>
              </w:rPr>
              <w:t>年</w:t>
            </w:r>
          </w:p>
        </w:tc>
        <w:tc>
          <w:tcPr>
            <w:tcW w:w="981" w:type="pct"/>
            <w:tcMar>
              <w:top w:w="10" w:type="dxa"/>
              <w:left w:w="10" w:type="dxa"/>
              <w:right w:w="10" w:type="dxa"/>
            </w:tcMar>
            <w:vAlign w:val="center"/>
          </w:tcPr>
          <w:p w14:paraId="1F8E575A">
            <w:pPr>
              <w:widowControl/>
              <w:jc w:val="center"/>
              <w:textAlignment w:val="center"/>
              <w:rPr>
                <w:rFonts w:ascii="宋体" w:hAnsi="宋体"/>
              </w:rPr>
            </w:pPr>
            <w:r>
              <w:rPr>
                <w:rFonts w:hint="eastAsia" w:ascii="宋体" w:hAnsi="宋体"/>
                <w:kern w:val="0"/>
                <w:lang w:bidi="ar"/>
              </w:rPr>
              <w:t>每月输出安全监测报告，及时告警发现的异常事件并提供解决建议</w:t>
            </w:r>
          </w:p>
        </w:tc>
      </w:tr>
      <w:tr w14:paraId="77A8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49DEAF3B">
            <w:pPr>
              <w:pStyle w:val="10"/>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14:paraId="0038EF6C">
            <w:pPr>
              <w:widowControl/>
              <w:jc w:val="center"/>
              <w:textAlignment w:val="center"/>
              <w:rPr>
                <w:rFonts w:ascii="宋体" w:hAnsi="宋体"/>
                <w:kern w:val="0"/>
                <w:lang w:bidi="ar"/>
              </w:rPr>
            </w:pPr>
            <w:r>
              <w:rPr>
                <w:rFonts w:hint="eastAsia" w:ascii="宋体" w:hAnsi="宋体"/>
                <w:kern w:val="0"/>
                <w:lang w:bidi="ar"/>
              </w:rPr>
              <w:t>安全设备状态和运行与告警问题检查</w:t>
            </w:r>
          </w:p>
        </w:tc>
        <w:tc>
          <w:tcPr>
            <w:tcW w:w="793" w:type="pct"/>
            <w:tcMar>
              <w:top w:w="10" w:type="dxa"/>
              <w:left w:w="10" w:type="dxa"/>
              <w:right w:w="10" w:type="dxa"/>
            </w:tcMar>
            <w:vAlign w:val="center"/>
          </w:tcPr>
          <w:p w14:paraId="7E113556">
            <w:pPr>
              <w:widowControl/>
              <w:jc w:val="center"/>
              <w:textAlignment w:val="center"/>
              <w:rPr>
                <w:rFonts w:ascii="宋体" w:hAnsi="宋体"/>
                <w:kern w:val="0"/>
                <w:lang w:bidi="ar"/>
              </w:rPr>
            </w:pPr>
            <w:r>
              <w:rPr>
                <w:rFonts w:hint="eastAsia" w:ascii="宋体" w:hAnsi="宋体"/>
                <w:kern w:val="0"/>
                <w:lang w:bidi="ar"/>
              </w:rPr>
              <w:t>医院现有所有安全设备</w:t>
            </w:r>
          </w:p>
        </w:tc>
        <w:tc>
          <w:tcPr>
            <w:tcW w:w="1582" w:type="pct"/>
            <w:tcMar>
              <w:top w:w="10" w:type="dxa"/>
              <w:left w:w="10" w:type="dxa"/>
              <w:right w:w="10" w:type="dxa"/>
            </w:tcMar>
            <w:vAlign w:val="center"/>
          </w:tcPr>
          <w:p w14:paraId="37B70069">
            <w:pPr>
              <w:widowControl/>
              <w:jc w:val="left"/>
              <w:textAlignment w:val="center"/>
              <w:rPr>
                <w:rFonts w:ascii="宋体" w:hAnsi="宋体"/>
                <w:kern w:val="0"/>
                <w:lang w:bidi="ar"/>
              </w:rPr>
            </w:pPr>
            <w:r>
              <w:rPr>
                <w:rFonts w:hint="eastAsia" w:ascii="宋体" w:hAnsi="宋体"/>
                <w:kern w:val="0"/>
                <w:lang w:bidi="ar"/>
              </w:rPr>
              <w:t xml:space="preserve">对现有所有安全软硬件的运行状态、策略匹配度、告警日志、特征库问题等进行分析检查，并协助处理已知问题。 </w:t>
            </w:r>
            <w:r>
              <w:rPr>
                <w:rFonts w:ascii="宋体" w:hAnsi="宋体"/>
                <w:kern w:val="0"/>
                <w:lang w:bidi="ar"/>
              </w:rPr>
              <w:t xml:space="preserve">                         </w:t>
            </w:r>
          </w:p>
        </w:tc>
        <w:tc>
          <w:tcPr>
            <w:tcW w:w="261" w:type="pct"/>
            <w:tcMar>
              <w:top w:w="10" w:type="dxa"/>
              <w:left w:w="10" w:type="dxa"/>
              <w:right w:w="10" w:type="dxa"/>
            </w:tcMar>
            <w:vAlign w:val="center"/>
          </w:tcPr>
          <w:p w14:paraId="1504C303">
            <w:pPr>
              <w:widowControl/>
              <w:jc w:val="center"/>
              <w:textAlignment w:val="center"/>
              <w:rPr>
                <w:rFonts w:ascii="宋体" w:hAnsi="宋体"/>
                <w:kern w:val="0"/>
                <w:lang w:bidi="ar"/>
              </w:rPr>
            </w:pPr>
            <w:r>
              <w:rPr>
                <w:rFonts w:hint="eastAsia" w:ascii="宋体" w:hAnsi="宋体"/>
                <w:kern w:val="0"/>
                <w:lang w:bidi="ar"/>
              </w:rPr>
              <w:t>4</w:t>
            </w:r>
          </w:p>
        </w:tc>
        <w:tc>
          <w:tcPr>
            <w:tcW w:w="302" w:type="pct"/>
            <w:tcMar>
              <w:top w:w="10" w:type="dxa"/>
              <w:left w:w="10" w:type="dxa"/>
              <w:right w:w="10" w:type="dxa"/>
            </w:tcMar>
            <w:vAlign w:val="center"/>
          </w:tcPr>
          <w:p w14:paraId="4E2CFD32">
            <w:pPr>
              <w:widowControl/>
              <w:jc w:val="center"/>
              <w:textAlignment w:val="center"/>
              <w:rPr>
                <w:rFonts w:ascii="宋体" w:hAnsi="宋体"/>
                <w:kern w:val="0"/>
                <w:lang w:bidi="ar"/>
              </w:rPr>
            </w:pPr>
            <w:r>
              <w:rPr>
                <w:rFonts w:hint="eastAsia" w:ascii="宋体" w:hAnsi="宋体"/>
                <w:kern w:val="0"/>
                <w:lang w:bidi="ar"/>
              </w:rPr>
              <w:t>次</w:t>
            </w:r>
          </w:p>
        </w:tc>
        <w:tc>
          <w:tcPr>
            <w:tcW w:w="981" w:type="pct"/>
            <w:tcMar>
              <w:top w:w="10" w:type="dxa"/>
              <w:left w:w="10" w:type="dxa"/>
              <w:right w:w="10" w:type="dxa"/>
            </w:tcMar>
            <w:vAlign w:val="center"/>
          </w:tcPr>
          <w:p w14:paraId="4A64D31B">
            <w:pPr>
              <w:widowControl/>
              <w:jc w:val="center"/>
              <w:textAlignment w:val="center"/>
              <w:rPr>
                <w:rFonts w:ascii="宋体" w:hAnsi="宋体"/>
                <w:kern w:val="0"/>
                <w:lang w:bidi="ar"/>
              </w:rPr>
            </w:pPr>
            <w:r>
              <w:rPr>
                <w:rFonts w:hint="eastAsia" w:ascii="宋体" w:hAnsi="宋体"/>
                <w:kern w:val="0"/>
                <w:lang w:bidi="ar"/>
              </w:rPr>
              <w:t>《安全检查报告》</w:t>
            </w:r>
          </w:p>
        </w:tc>
      </w:tr>
      <w:tr w14:paraId="6444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521E9120">
            <w:pPr>
              <w:pStyle w:val="10"/>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14:paraId="46DF7791">
            <w:pPr>
              <w:widowControl/>
              <w:jc w:val="center"/>
              <w:textAlignment w:val="center"/>
              <w:rPr>
                <w:rFonts w:ascii="宋体" w:hAnsi="宋体"/>
                <w:b/>
                <w:kern w:val="0"/>
                <w:lang w:bidi="ar"/>
              </w:rPr>
            </w:pPr>
            <w:r>
              <w:rPr>
                <w:rFonts w:hint="eastAsia" w:ascii="宋体" w:hAnsi="宋体"/>
                <w:kern w:val="0"/>
                <w:lang w:bidi="ar"/>
              </w:rPr>
              <w:t>安全扫描服务</w:t>
            </w:r>
          </w:p>
        </w:tc>
        <w:tc>
          <w:tcPr>
            <w:tcW w:w="793" w:type="pct"/>
            <w:tcMar>
              <w:top w:w="10" w:type="dxa"/>
              <w:left w:w="10" w:type="dxa"/>
              <w:right w:w="10" w:type="dxa"/>
            </w:tcMar>
            <w:vAlign w:val="center"/>
          </w:tcPr>
          <w:p w14:paraId="53EEA96E">
            <w:pPr>
              <w:widowControl/>
              <w:jc w:val="center"/>
              <w:textAlignment w:val="center"/>
              <w:rPr>
                <w:rFonts w:ascii="宋体" w:hAnsi="宋体"/>
                <w:bCs/>
                <w:kern w:val="0"/>
                <w:lang w:bidi="ar"/>
              </w:rPr>
            </w:pPr>
            <w:r>
              <w:rPr>
                <w:rFonts w:hint="eastAsia" w:ascii="宋体" w:hAnsi="宋体"/>
                <w:bCs/>
                <w:kern w:val="0"/>
                <w:lang w:bidi="ar"/>
              </w:rPr>
              <w:t>医院协调需要进行安全扫描的IP网段、业务系统、主机系统、中间件系统、数据库系统</w:t>
            </w:r>
          </w:p>
        </w:tc>
        <w:tc>
          <w:tcPr>
            <w:tcW w:w="1582" w:type="pct"/>
            <w:tcMar>
              <w:top w:w="10" w:type="dxa"/>
              <w:left w:w="10" w:type="dxa"/>
              <w:right w:w="10" w:type="dxa"/>
            </w:tcMar>
            <w:vAlign w:val="center"/>
          </w:tcPr>
          <w:p w14:paraId="08E8443B">
            <w:pPr>
              <w:widowControl/>
              <w:jc w:val="left"/>
              <w:textAlignment w:val="center"/>
              <w:rPr>
                <w:rFonts w:ascii="宋体" w:hAnsi="宋体"/>
                <w:kern w:val="0"/>
                <w:lang w:bidi="ar"/>
              </w:rPr>
            </w:pPr>
            <w:r>
              <w:rPr>
                <w:rFonts w:hint="eastAsia" w:ascii="宋体" w:hAnsi="宋体"/>
                <w:kern w:val="0"/>
                <w:lang w:bidi="ar"/>
              </w:rPr>
              <w:t>使用商业化的安全漏洞评估产品（工具/系统），全面检测约定服务范围内的网络设备、主机操作系统、中间件系统、数据库系统和业务应用系统中存在的安全漏洞，提供漏洞扫描报告和修复建议。</w:t>
            </w:r>
          </w:p>
        </w:tc>
        <w:tc>
          <w:tcPr>
            <w:tcW w:w="261" w:type="pct"/>
            <w:tcMar>
              <w:top w:w="10" w:type="dxa"/>
              <w:left w:w="10" w:type="dxa"/>
              <w:right w:w="10" w:type="dxa"/>
            </w:tcMar>
            <w:vAlign w:val="center"/>
          </w:tcPr>
          <w:p w14:paraId="625AEFF4">
            <w:pPr>
              <w:widowControl/>
              <w:jc w:val="center"/>
              <w:textAlignment w:val="center"/>
              <w:rPr>
                <w:rFonts w:ascii="宋体" w:hAnsi="宋体"/>
                <w:b/>
                <w:kern w:val="0"/>
                <w:lang w:bidi="ar"/>
              </w:rPr>
            </w:pPr>
            <w:r>
              <w:rPr>
                <w:rFonts w:hint="eastAsia" w:ascii="宋体" w:hAnsi="宋体"/>
                <w:kern w:val="0"/>
                <w:lang w:bidi="ar"/>
              </w:rPr>
              <w:t>4</w:t>
            </w:r>
          </w:p>
        </w:tc>
        <w:tc>
          <w:tcPr>
            <w:tcW w:w="302" w:type="pct"/>
            <w:tcMar>
              <w:top w:w="10" w:type="dxa"/>
              <w:left w:w="10" w:type="dxa"/>
              <w:right w:w="10" w:type="dxa"/>
            </w:tcMar>
            <w:vAlign w:val="center"/>
          </w:tcPr>
          <w:p w14:paraId="49EBA7FD">
            <w:pPr>
              <w:widowControl/>
              <w:jc w:val="center"/>
              <w:textAlignment w:val="center"/>
              <w:rPr>
                <w:rFonts w:ascii="宋体" w:hAnsi="宋体"/>
                <w:bCs/>
                <w:kern w:val="0"/>
                <w:lang w:bidi="ar"/>
              </w:rPr>
            </w:pPr>
            <w:r>
              <w:rPr>
                <w:rFonts w:hint="eastAsia" w:ascii="宋体" w:hAnsi="宋体"/>
                <w:bCs/>
                <w:kern w:val="0"/>
                <w:lang w:bidi="ar"/>
              </w:rPr>
              <w:t>次</w:t>
            </w:r>
            <w:r>
              <w:rPr>
                <w:rFonts w:hint="eastAsia" w:ascii="宋体" w:hAnsi="宋体"/>
                <w:kern w:val="0"/>
              </w:rPr>
              <w:t>/年</w:t>
            </w:r>
          </w:p>
        </w:tc>
        <w:tc>
          <w:tcPr>
            <w:tcW w:w="981" w:type="pct"/>
            <w:tcMar>
              <w:top w:w="10" w:type="dxa"/>
              <w:left w:w="10" w:type="dxa"/>
              <w:right w:w="10" w:type="dxa"/>
            </w:tcMar>
            <w:vAlign w:val="center"/>
          </w:tcPr>
          <w:p w14:paraId="2AFBD59B">
            <w:pPr>
              <w:widowControl/>
              <w:jc w:val="center"/>
              <w:textAlignment w:val="center"/>
              <w:rPr>
                <w:rFonts w:ascii="宋体" w:hAnsi="宋体"/>
                <w:kern w:val="0"/>
                <w:lang w:bidi="ar"/>
              </w:rPr>
            </w:pPr>
            <w:r>
              <w:rPr>
                <w:rFonts w:hint="eastAsia" w:ascii="宋体" w:hAnsi="宋体"/>
                <w:kern w:val="0"/>
                <w:lang w:bidi="ar"/>
              </w:rPr>
              <w:t>信息资产表</w:t>
            </w:r>
          </w:p>
        </w:tc>
      </w:tr>
      <w:tr w14:paraId="53B8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180ED1AB">
            <w:pPr>
              <w:pStyle w:val="10"/>
              <w:widowControl/>
              <w:numPr>
                <w:ilvl w:val="0"/>
                <w:numId w:val="1"/>
              </w:numPr>
              <w:ind w:firstLineChars="0"/>
              <w:jc w:val="center"/>
              <w:rPr>
                <w:rFonts w:ascii="宋体" w:hAnsi="宋体"/>
                <w:kern w:val="0"/>
              </w:rPr>
            </w:pPr>
          </w:p>
        </w:tc>
        <w:tc>
          <w:tcPr>
            <w:tcW w:w="542" w:type="pct"/>
            <w:tcMar>
              <w:top w:w="10" w:type="dxa"/>
              <w:left w:w="10" w:type="dxa"/>
              <w:right w:w="10" w:type="dxa"/>
            </w:tcMar>
            <w:vAlign w:val="center"/>
          </w:tcPr>
          <w:p w14:paraId="65DAF583">
            <w:pPr>
              <w:widowControl/>
              <w:jc w:val="center"/>
              <w:rPr>
                <w:rFonts w:ascii="宋体" w:hAnsi="宋体"/>
                <w:kern w:val="0"/>
                <w:lang w:bidi="ar"/>
              </w:rPr>
            </w:pPr>
            <w:r>
              <w:rPr>
                <w:rFonts w:hint="eastAsia" w:ascii="宋体" w:hAnsi="宋体"/>
                <w:kern w:val="0"/>
              </w:rPr>
              <w:t>资产梳理与调研服务</w:t>
            </w:r>
          </w:p>
        </w:tc>
        <w:tc>
          <w:tcPr>
            <w:tcW w:w="793" w:type="pct"/>
            <w:tcMar>
              <w:top w:w="10" w:type="dxa"/>
              <w:left w:w="10" w:type="dxa"/>
              <w:right w:w="10" w:type="dxa"/>
            </w:tcMar>
            <w:vAlign w:val="center"/>
          </w:tcPr>
          <w:p w14:paraId="74AE3FCA">
            <w:pPr>
              <w:widowControl/>
              <w:jc w:val="center"/>
              <w:rPr>
                <w:rFonts w:ascii="宋体" w:hAnsi="宋体"/>
                <w:kern w:val="0"/>
                <w:lang w:bidi="ar"/>
              </w:rPr>
            </w:pPr>
            <w:r>
              <w:rPr>
                <w:rFonts w:hint="eastAsia" w:ascii="宋体" w:hAnsi="宋体"/>
                <w:kern w:val="0"/>
              </w:rPr>
              <w:t>医院机房网络安全软硬件设备信息</w:t>
            </w:r>
          </w:p>
        </w:tc>
        <w:tc>
          <w:tcPr>
            <w:tcW w:w="1582" w:type="pct"/>
            <w:tcMar>
              <w:top w:w="10" w:type="dxa"/>
              <w:left w:w="10" w:type="dxa"/>
              <w:right w:w="10" w:type="dxa"/>
            </w:tcMar>
            <w:vAlign w:val="center"/>
          </w:tcPr>
          <w:p w14:paraId="37555038">
            <w:pPr>
              <w:widowControl/>
              <w:jc w:val="left"/>
              <w:rPr>
                <w:rFonts w:ascii="宋体" w:hAnsi="宋体"/>
                <w:kern w:val="0"/>
              </w:rPr>
            </w:pPr>
            <w:r>
              <w:rPr>
                <w:rFonts w:hint="eastAsia" w:ascii="宋体" w:hAnsi="宋体"/>
                <w:kern w:val="0"/>
              </w:rPr>
              <w:t>对医院已定级备案的信息系统的相关组织、管理和IT环境进行调研，全面、准确、深入的了解和描述客户信息系统现状，以及确定安全运维工作的相关人员职责；根据信息支持调研表不同内容，依据等保2.0第三级标准和其他国家网络安全法律法规内容来分析跟进处理可能存在安全不足点，提供对应解决建议，协助提升医院网络安全建设的规范性和实际符合医院网络安全建设的需求。信息资产调查表（包含但不限于网络拓扑图、各类网络和安全设备、医院已定级备案的重要业务系统等相关IP、登陆地址、管理主机、账号密码、购入时间、过保时间、序列号、部署位置等）。</w:t>
            </w:r>
          </w:p>
        </w:tc>
        <w:tc>
          <w:tcPr>
            <w:tcW w:w="261" w:type="pct"/>
            <w:tcMar>
              <w:top w:w="10" w:type="dxa"/>
              <w:left w:w="10" w:type="dxa"/>
              <w:right w:w="10" w:type="dxa"/>
            </w:tcMar>
            <w:vAlign w:val="center"/>
          </w:tcPr>
          <w:p w14:paraId="5CAE2A0E">
            <w:pPr>
              <w:widowControl/>
              <w:jc w:val="center"/>
              <w:rPr>
                <w:rFonts w:ascii="宋体" w:hAnsi="宋体"/>
                <w:kern w:val="0"/>
                <w:lang w:bidi="ar"/>
              </w:rPr>
            </w:pPr>
            <w:r>
              <w:rPr>
                <w:rFonts w:hint="eastAsia" w:ascii="宋体" w:hAnsi="宋体"/>
                <w:kern w:val="0"/>
              </w:rPr>
              <w:t>1</w:t>
            </w:r>
          </w:p>
        </w:tc>
        <w:tc>
          <w:tcPr>
            <w:tcW w:w="302" w:type="pct"/>
            <w:tcMar>
              <w:top w:w="10" w:type="dxa"/>
              <w:left w:w="10" w:type="dxa"/>
              <w:right w:w="10" w:type="dxa"/>
            </w:tcMar>
            <w:vAlign w:val="center"/>
          </w:tcPr>
          <w:p w14:paraId="27BE1CC5">
            <w:pPr>
              <w:widowControl/>
              <w:jc w:val="center"/>
              <w:rPr>
                <w:rFonts w:ascii="宋体" w:hAnsi="宋体"/>
                <w:kern w:val="0"/>
                <w:lang w:bidi="ar"/>
              </w:rPr>
            </w:pPr>
            <w:r>
              <w:rPr>
                <w:rFonts w:hint="eastAsia" w:ascii="宋体" w:hAnsi="宋体"/>
                <w:kern w:val="0"/>
              </w:rPr>
              <w:t>次/年</w:t>
            </w:r>
          </w:p>
        </w:tc>
        <w:tc>
          <w:tcPr>
            <w:tcW w:w="981" w:type="pct"/>
            <w:tcMar>
              <w:top w:w="10" w:type="dxa"/>
              <w:left w:w="10" w:type="dxa"/>
              <w:right w:w="10" w:type="dxa"/>
            </w:tcMar>
            <w:vAlign w:val="center"/>
          </w:tcPr>
          <w:p w14:paraId="24939F9D">
            <w:pPr>
              <w:widowControl/>
              <w:jc w:val="center"/>
              <w:textAlignment w:val="center"/>
              <w:rPr>
                <w:rFonts w:ascii="宋体" w:hAnsi="宋体"/>
                <w:kern w:val="0"/>
                <w:lang w:bidi="ar"/>
              </w:rPr>
            </w:pPr>
          </w:p>
        </w:tc>
      </w:tr>
      <w:tr w14:paraId="12E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45F93F43">
            <w:pPr>
              <w:pStyle w:val="10"/>
              <w:widowControl/>
              <w:numPr>
                <w:ilvl w:val="0"/>
                <w:numId w:val="1"/>
              </w:numPr>
              <w:ind w:firstLineChars="0"/>
              <w:jc w:val="center"/>
              <w:rPr>
                <w:rFonts w:ascii="宋体" w:hAnsi="宋体"/>
                <w:kern w:val="0"/>
              </w:rPr>
            </w:pPr>
          </w:p>
        </w:tc>
        <w:tc>
          <w:tcPr>
            <w:tcW w:w="542" w:type="pct"/>
            <w:tcMar>
              <w:top w:w="10" w:type="dxa"/>
              <w:left w:w="10" w:type="dxa"/>
              <w:right w:w="10" w:type="dxa"/>
            </w:tcMar>
            <w:vAlign w:val="center"/>
          </w:tcPr>
          <w:p w14:paraId="2C8A23E5">
            <w:pPr>
              <w:widowControl/>
              <w:jc w:val="center"/>
              <w:rPr>
                <w:rFonts w:ascii="宋体" w:hAnsi="宋体"/>
                <w:kern w:val="0"/>
              </w:rPr>
            </w:pPr>
            <w:r>
              <w:rPr>
                <w:rFonts w:hint="eastAsia" w:ascii="宋体" w:hAnsi="宋体"/>
                <w:kern w:val="0"/>
              </w:rPr>
              <w:t>APP安全加固</w:t>
            </w:r>
          </w:p>
        </w:tc>
        <w:tc>
          <w:tcPr>
            <w:tcW w:w="793" w:type="pct"/>
            <w:tcMar>
              <w:top w:w="10" w:type="dxa"/>
              <w:left w:w="10" w:type="dxa"/>
              <w:right w:w="10" w:type="dxa"/>
            </w:tcMar>
            <w:vAlign w:val="center"/>
          </w:tcPr>
          <w:p w14:paraId="18A0AABB">
            <w:pPr>
              <w:widowControl/>
              <w:jc w:val="center"/>
              <w:rPr>
                <w:rFonts w:ascii="宋体" w:hAnsi="宋体"/>
                <w:kern w:val="0"/>
              </w:rPr>
            </w:pPr>
          </w:p>
        </w:tc>
        <w:tc>
          <w:tcPr>
            <w:tcW w:w="1582" w:type="pct"/>
            <w:tcMar>
              <w:top w:w="10" w:type="dxa"/>
              <w:left w:w="10" w:type="dxa"/>
              <w:right w:w="10" w:type="dxa"/>
            </w:tcMar>
            <w:vAlign w:val="center"/>
          </w:tcPr>
          <w:p w14:paraId="33D70D9C">
            <w:pPr>
              <w:jc w:val="left"/>
              <w:rPr>
                <w:rFonts w:ascii="宋体" w:hAnsi="宋体"/>
              </w:rPr>
            </w:pPr>
            <w:r>
              <w:rPr>
                <w:rFonts w:hint="eastAsia" w:ascii="宋体" w:hAnsi="宋体"/>
              </w:rPr>
              <w:t>针对医院现有的移动APP客户端，提供安卓与IOS版本的客户端各</w:t>
            </w:r>
            <w:r>
              <w:rPr>
                <w:rFonts w:ascii="宋体" w:hAnsi="宋体"/>
              </w:rPr>
              <w:t>1</w:t>
            </w:r>
            <w:r>
              <w:rPr>
                <w:rFonts w:hint="eastAsia" w:ascii="宋体" w:hAnsi="宋体"/>
              </w:rPr>
              <w:t>个的安全检测与加固，减小APP引发的安全问题概率。</w:t>
            </w:r>
          </w:p>
        </w:tc>
        <w:tc>
          <w:tcPr>
            <w:tcW w:w="261" w:type="pct"/>
            <w:tcMar>
              <w:top w:w="10" w:type="dxa"/>
              <w:left w:w="10" w:type="dxa"/>
              <w:right w:w="10" w:type="dxa"/>
            </w:tcMar>
            <w:vAlign w:val="center"/>
          </w:tcPr>
          <w:p w14:paraId="7C46DFBD">
            <w:pPr>
              <w:widowControl/>
              <w:jc w:val="center"/>
              <w:rPr>
                <w:rFonts w:ascii="宋体" w:hAnsi="宋体"/>
                <w:kern w:val="0"/>
              </w:rPr>
            </w:pPr>
            <w:r>
              <w:rPr>
                <w:rFonts w:ascii="宋体" w:hAnsi="宋体"/>
                <w:kern w:val="0"/>
              </w:rPr>
              <w:t>1</w:t>
            </w:r>
          </w:p>
        </w:tc>
        <w:tc>
          <w:tcPr>
            <w:tcW w:w="302" w:type="pct"/>
            <w:tcMar>
              <w:top w:w="10" w:type="dxa"/>
              <w:left w:w="10" w:type="dxa"/>
              <w:right w:w="10" w:type="dxa"/>
            </w:tcMar>
            <w:vAlign w:val="center"/>
          </w:tcPr>
          <w:p w14:paraId="14E11FF4">
            <w:pPr>
              <w:widowControl/>
              <w:jc w:val="center"/>
              <w:rPr>
                <w:rFonts w:ascii="宋体" w:hAnsi="宋体"/>
                <w:kern w:val="0"/>
              </w:rPr>
            </w:pPr>
            <w:r>
              <w:rPr>
                <w:rFonts w:hint="eastAsia" w:ascii="宋体" w:hAnsi="宋体"/>
                <w:kern w:val="0"/>
              </w:rPr>
              <w:t>个/年</w:t>
            </w:r>
          </w:p>
        </w:tc>
        <w:tc>
          <w:tcPr>
            <w:tcW w:w="981" w:type="pct"/>
            <w:tcMar>
              <w:top w:w="10" w:type="dxa"/>
              <w:left w:w="10" w:type="dxa"/>
              <w:right w:w="10" w:type="dxa"/>
            </w:tcMar>
            <w:vAlign w:val="center"/>
          </w:tcPr>
          <w:p w14:paraId="645D4CC8">
            <w:pPr>
              <w:widowControl/>
              <w:jc w:val="center"/>
              <w:textAlignment w:val="center"/>
              <w:rPr>
                <w:rFonts w:ascii="宋体" w:hAnsi="宋体"/>
                <w:kern w:val="0"/>
                <w:lang w:bidi="ar"/>
              </w:rPr>
            </w:pPr>
            <w:r>
              <w:rPr>
                <w:rFonts w:hint="eastAsia" w:ascii="宋体" w:hAnsi="宋体"/>
                <w:kern w:val="0"/>
                <w:lang w:bidi="ar"/>
              </w:rPr>
              <w:t>APP安全加固包</w:t>
            </w:r>
          </w:p>
        </w:tc>
      </w:tr>
      <w:tr w14:paraId="359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7C0BEF8A">
            <w:pPr>
              <w:pStyle w:val="10"/>
              <w:widowControl/>
              <w:numPr>
                <w:ilvl w:val="0"/>
                <w:numId w:val="1"/>
              </w:numPr>
              <w:ind w:firstLineChars="0"/>
              <w:jc w:val="center"/>
            </w:pPr>
          </w:p>
        </w:tc>
        <w:tc>
          <w:tcPr>
            <w:tcW w:w="542" w:type="pct"/>
            <w:tcMar>
              <w:top w:w="10" w:type="dxa"/>
              <w:left w:w="10" w:type="dxa"/>
              <w:right w:w="10" w:type="dxa"/>
            </w:tcMar>
            <w:vAlign w:val="center"/>
          </w:tcPr>
          <w:p w14:paraId="3B71E68B">
            <w:pPr>
              <w:widowControl/>
              <w:jc w:val="center"/>
              <w:rPr>
                <w:rFonts w:ascii="宋体" w:hAnsi="宋体"/>
                <w:kern w:val="0"/>
              </w:rPr>
            </w:pPr>
            <w:r>
              <w:rPr>
                <w:rFonts w:hint="eastAsia" w:ascii="宋体" w:hAnsi="宋体"/>
                <w:kern w:val="0"/>
              </w:rPr>
              <w:t>小程序安全加固</w:t>
            </w:r>
          </w:p>
        </w:tc>
        <w:tc>
          <w:tcPr>
            <w:tcW w:w="793" w:type="pct"/>
            <w:tcMar>
              <w:top w:w="10" w:type="dxa"/>
              <w:left w:w="10" w:type="dxa"/>
              <w:right w:w="10" w:type="dxa"/>
            </w:tcMar>
            <w:vAlign w:val="center"/>
          </w:tcPr>
          <w:p w14:paraId="4334FE1C">
            <w:pPr>
              <w:widowControl/>
              <w:jc w:val="center"/>
              <w:textAlignment w:val="center"/>
              <w:rPr>
                <w:rFonts w:ascii="宋体" w:hAnsi="宋体"/>
                <w:kern w:val="0"/>
              </w:rPr>
            </w:pPr>
            <w:r>
              <w:rPr>
                <w:rFonts w:hint="eastAsia" w:ascii="宋体" w:hAnsi="宋体" w:cs="宋体"/>
                <w:color w:val="000000"/>
                <w:kern w:val="0"/>
                <w:szCs w:val="21"/>
                <w:lang w:bidi="ar"/>
              </w:rPr>
              <w:t>1个微信小程序</w:t>
            </w:r>
          </w:p>
        </w:tc>
        <w:tc>
          <w:tcPr>
            <w:tcW w:w="1582" w:type="pct"/>
            <w:tcMar>
              <w:top w:w="10" w:type="dxa"/>
              <w:left w:w="10" w:type="dxa"/>
              <w:right w:w="10" w:type="dxa"/>
            </w:tcMar>
            <w:vAlign w:val="center"/>
          </w:tcPr>
          <w:p w14:paraId="254F0EA4">
            <w:pPr>
              <w:jc w:val="left"/>
              <w:rPr>
                <w:rFonts w:ascii="宋体" w:hAnsi="宋体"/>
              </w:rPr>
            </w:pPr>
            <w:r>
              <w:rPr>
                <w:rFonts w:hint="eastAsia" w:ascii="宋体" w:hAnsi="宋体"/>
              </w:rPr>
              <w:t>为小程序开发者提供有效的防反编译、防盗用保护功能。</w:t>
            </w:r>
          </w:p>
        </w:tc>
        <w:tc>
          <w:tcPr>
            <w:tcW w:w="261" w:type="pct"/>
            <w:tcMar>
              <w:top w:w="10" w:type="dxa"/>
              <w:left w:w="10" w:type="dxa"/>
              <w:right w:w="10" w:type="dxa"/>
            </w:tcMar>
            <w:vAlign w:val="center"/>
          </w:tcPr>
          <w:p w14:paraId="2A686150">
            <w:pPr>
              <w:widowControl/>
              <w:jc w:val="center"/>
              <w:textAlignment w:val="center"/>
              <w:rPr>
                <w:rFonts w:ascii="宋体" w:hAnsi="宋体"/>
                <w:kern w:val="0"/>
              </w:rPr>
            </w:pPr>
            <w:r>
              <w:rPr>
                <w:rFonts w:hint="eastAsia" w:ascii="宋体" w:hAnsi="宋体" w:cs="宋体"/>
                <w:color w:val="000000"/>
                <w:kern w:val="0"/>
                <w:szCs w:val="21"/>
                <w:lang w:bidi="ar"/>
              </w:rPr>
              <w:t>1</w:t>
            </w:r>
          </w:p>
        </w:tc>
        <w:tc>
          <w:tcPr>
            <w:tcW w:w="302" w:type="pct"/>
            <w:tcMar>
              <w:top w:w="10" w:type="dxa"/>
              <w:left w:w="10" w:type="dxa"/>
              <w:right w:w="10" w:type="dxa"/>
            </w:tcMar>
            <w:vAlign w:val="center"/>
          </w:tcPr>
          <w:p w14:paraId="02DDF613">
            <w:pPr>
              <w:widowControl/>
              <w:jc w:val="center"/>
              <w:textAlignment w:val="center"/>
              <w:rPr>
                <w:rFonts w:ascii="宋体" w:hAnsi="宋体"/>
                <w:kern w:val="0"/>
              </w:rPr>
            </w:pPr>
            <w:r>
              <w:rPr>
                <w:rFonts w:hint="eastAsia" w:ascii="宋体" w:hAnsi="宋体" w:cs="宋体"/>
                <w:color w:val="000000"/>
                <w:kern w:val="0"/>
                <w:szCs w:val="21"/>
                <w:lang w:bidi="ar"/>
              </w:rPr>
              <w:t>个/年</w:t>
            </w:r>
          </w:p>
        </w:tc>
        <w:tc>
          <w:tcPr>
            <w:tcW w:w="981" w:type="pct"/>
            <w:tcMar>
              <w:top w:w="10" w:type="dxa"/>
              <w:left w:w="10" w:type="dxa"/>
              <w:right w:w="10" w:type="dxa"/>
            </w:tcMar>
            <w:vAlign w:val="center"/>
          </w:tcPr>
          <w:p w14:paraId="2CF1E89A">
            <w:pPr>
              <w:widowControl/>
              <w:jc w:val="center"/>
              <w:textAlignment w:val="center"/>
              <w:rPr>
                <w:rFonts w:ascii="宋体" w:hAnsi="宋体"/>
                <w:kern w:val="0"/>
                <w:lang w:bidi="ar"/>
              </w:rPr>
            </w:pPr>
            <w:r>
              <w:rPr>
                <w:rFonts w:hint="eastAsia" w:ascii="宋体" w:hAnsi="宋体" w:cs="宋体"/>
                <w:color w:val="000000"/>
                <w:kern w:val="0"/>
                <w:szCs w:val="21"/>
                <w:lang w:bidi="ar"/>
              </w:rPr>
              <w:t>小程序安全加固包</w:t>
            </w:r>
          </w:p>
        </w:tc>
      </w:tr>
      <w:tr w14:paraId="39E2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6D2244AA">
            <w:pPr>
              <w:pStyle w:val="10"/>
              <w:widowControl/>
              <w:numPr>
                <w:ilvl w:val="0"/>
                <w:numId w:val="1"/>
              </w:numPr>
              <w:ind w:firstLineChars="0"/>
              <w:jc w:val="center"/>
            </w:pPr>
          </w:p>
        </w:tc>
        <w:tc>
          <w:tcPr>
            <w:tcW w:w="542" w:type="pct"/>
            <w:tcMar>
              <w:top w:w="10" w:type="dxa"/>
              <w:left w:w="10" w:type="dxa"/>
              <w:right w:w="10" w:type="dxa"/>
            </w:tcMar>
          </w:tcPr>
          <w:p w14:paraId="7DAD3D89">
            <w:pPr>
              <w:widowControl/>
              <w:jc w:val="center"/>
              <w:rPr>
                <w:rFonts w:ascii="宋体" w:hAnsi="宋体"/>
                <w:kern w:val="0"/>
              </w:rPr>
            </w:pPr>
            <w:r>
              <w:rPr>
                <w:rFonts w:hint="eastAsia"/>
              </w:rPr>
              <w:t>云主机监控服务</w:t>
            </w:r>
          </w:p>
        </w:tc>
        <w:tc>
          <w:tcPr>
            <w:tcW w:w="793" w:type="pct"/>
            <w:tcMar>
              <w:top w:w="10" w:type="dxa"/>
              <w:left w:w="10" w:type="dxa"/>
              <w:right w:w="10" w:type="dxa"/>
            </w:tcMar>
          </w:tcPr>
          <w:p w14:paraId="01212793">
            <w:pPr>
              <w:widowControl/>
              <w:jc w:val="center"/>
              <w:rPr>
                <w:rFonts w:ascii="宋体" w:hAnsi="宋体"/>
                <w:kern w:val="0"/>
              </w:rPr>
            </w:pPr>
            <w:r>
              <w:rPr>
                <w:rFonts w:hint="eastAsia"/>
              </w:rPr>
              <w:t>重要系统服务器</w:t>
            </w:r>
          </w:p>
        </w:tc>
        <w:tc>
          <w:tcPr>
            <w:tcW w:w="1582" w:type="pct"/>
            <w:tcMar>
              <w:top w:w="10" w:type="dxa"/>
              <w:left w:w="10" w:type="dxa"/>
              <w:right w:w="10" w:type="dxa"/>
            </w:tcMar>
          </w:tcPr>
          <w:p w14:paraId="4A8949EA">
            <w:pPr>
              <w:jc w:val="left"/>
            </w:pPr>
            <w:r>
              <w:rPr>
                <w:rFonts w:hint="eastAsia"/>
              </w:rPr>
              <w:t xml:space="preserve">在重要系统服务器上安装轻量级agent程序。通过主机安全监控系统，进行7*24小时的监控，一旦发现网页木马、主机操作风险、主机配置变更，则提供告警。协助管理人员对服务器安全配置和黑客入侵痕迹进行监控，快速发现服务器配置问题和黑客入侵告警，有效保护服务器系统的安全。 </w:t>
            </w:r>
            <w:r>
              <w:t xml:space="preserve">                                                                                                                               </w:t>
            </w:r>
          </w:p>
        </w:tc>
        <w:tc>
          <w:tcPr>
            <w:tcW w:w="261" w:type="pct"/>
            <w:tcMar>
              <w:top w:w="10" w:type="dxa"/>
              <w:left w:w="10" w:type="dxa"/>
              <w:right w:w="10" w:type="dxa"/>
            </w:tcMar>
          </w:tcPr>
          <w:p w14:paraId="147570E4">
            <w:pPr>
              <w:widowControl/>
              <w:jc w:val="center"/>
              <w:rPr>
                <w:rFonts w:ascii="宋体" w:hAnsi="宋体"/>
                <w:kern w:val="0"/>
              </w:rPr>
            </w:pPr>
            <w:r>
              <w:rPr>
                <w:rFonts w:hint="eastAsia"/>
              </w:rPr>
              <w:t>1</w:t>
            </w:r>
          </w:p>
        </w:tc>
        <w:tc>
          <w:tcPr>
            <w:tcW w:w="302" w:type="pct"/>
            <w:tcMar>
              <w:top w:w="10" w:type="dxa"/>
              <w:left w:w="10" w:type="dxa"/>
              <w:right w:w="10" w:type="dxa"/>
            </w:tcMar>
          </w:tcPr>
          <w:p w14:paraId="0947D05A">
            <w:pPr>
              <w:widowControl/>
              <w:jc w:val="center"/>
              <w:rPr>
                <w:rFonts w:ascii="宋体" w:hAnsi="宋体"/>
                <w:kern w:val="0"/>
              </w:rPr>
            </w:pPr>
            <w:r>
              <w:rPr>
                <w:rFonts w:hint="eastAsia"/>
              </w:rPr>
              <w:t>年</w:t>
            </w:r>
          </w:p>
        </w:tc>
        <w:tc>
          <w:tcPr>
            <w:tcW w:w="981" w:type="pct"/>
            <w:tcMar>
              <w:top w:w="10" w:type="dxa"/>
              <w:left w:w="10" w:type="dxa"/>
              <w:right w:w="10" w:type="dxa"/>
            </w:tcMar>
          </w:tcPr>
          <w:p w14:paraId="33A87114">
            <w:pPr>
              <w:widowControl/>
              <w:jc w:val="center"/>
              <w:textAlignment w:val="center"/>
              <w:rPr>
                <w:rFonts w:ascii="宋体" w:hAnsi="宋体"/>
                <w:kern w:val="0"/>
                <w:lang w:bidi="ar"/>
              </w:rPr>
            </w:pPr>
            <w:r>
              <w:rPr>
                <w:rFonts w:hint="eastAsia"/>
              </w:rPr>
              <w:t>《云主机监控报告》</w:t>
            </w:r>
          </w:p>
        </w:tc>
      </w:tr>
      <w:tr w14:paraId="544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598AC55E">
            <w:pPr>
              <w:pStyle w:val="10"/>
              <w:widowControl/>
              <w:numPr>
                <w:ilvl w:val="0"/>
                <w:numId w:val="1"/>
              </w:numPr>
              <w:ind w:firstLineChars="0"/>
              <w:jc w:val="center"/>
            </w:pPr>
          </w:p>
        </w:tc>
        <w:tc>
          <w:tcPr>
            <w:tcW w:w="542" w:type="pct"/>
            <w:tcMar>
              <w:top w:w="10" w:type="dxa"/>
              <w:left w:w="10" w:type="dxa"/>
              <w:right w:w="10" w:type="dxa"/>
            </w:tcMar>
            <w:vAlign w:val="center"/>
          </w:tcPr>
          <w:p w14:paraId="2EAF305F">
            <w:pPr>
              <w:widowControl/>
              <w:jc w:val="left"/>
            </w:pPr>
            <w:r>
              <w:rPr>
                <w:rFonts w:hint="eastAsia"/>
              </w:rPr>
              <w:t>密码安全文件解读服务</w:t>
            </w:r>
          </w:p>
        </w:tc>
        <w:tc>
          <w:tcPr>
            <w:tcW w:w="793" w:type="pct"/>
            <w:tcMar>
              <w:top w:w="10" w:type="dxa"/>
              <w:left w:w="10" w:type="dxa"/>
              <w:right w:w="10" w:type="dxa"/>
            </w:tcMar>
            <w:vAlign w:val="center"/>
          </w:tcPr>
          <w:p w14:paraId="62448D6F">
            <w:pPr>
              <w:widowControl/>
              <w:jc w:val="left"/>
            </w:pPr>
          </w:p>
        </w:tc>
        <w:tc>
          <w:tcPr>
            <w:tcW w:w="1582" w:type="pct"/>
            <w:tcMar>
              <w:top w:w="10" w:type="dxa"/>
              <w:left w:w="10" w:type="dxa"/>
              <w:right w:w="10" w:type="dxa"/>
            </w:tcMar>
          </w:tcPr>
          <w:p w14:paraId="66B9C679">
            <w:pPr>
              <w:pStyle w:val="2"/>
            </w:pPr>
            <w:r>
              <w:rPr>
                <w:rFonts w:hint="eastAsia"/>
              </w:rPr>
              <w:t>提供密码安全相关文件解读服务，并提供建议方案</w:t>
            </w:r>
          </w:p>
        </w:tc>
        <w:tc>
          <w:tcPr>
            <w:tcW w:w="261" w:type="pct"/>
            <w:tcMar>
              <w:top w:w="10" w:type="dxa"/>
              <w:left w:w="10" w:type="dxa"/>
              <w:right w:w="10" w:type="dxa"/>
            </w:tcMar>
          </w:tcPr>
          <w:p w14:paraId="6CA7251A">
            <w:pPr>
              <w:widowControl/>
              <w:jc w:val="center"/>
            </w:pPr>
          </w:p>
          <w:p w14:paraId="593206BB">
            <w:pPr>
              <w:jc w:val="center"/>
            </w:pPr>
          </w:p>
          <w:p w14:paraId="409F9AB8">
            <w:pPr>
              <w:jc w:val="center"/>
            </w:pPr>
            <w:r>
              <w:rPr>
                <w:rFonts w:hint="eastAsia"/>
              </w:rPr>
              <w:t>1</w:t>
            </w:r>
          </w:p>
        </w:tc>
        <w:tc>
          <w:tcPr>
            <w:tcW w:w="302" w:type="pct"/>
            <w:tcMar>
              <w:top w:w="10" w:type="dxa"/>
              <w:left w:w="10" w:type="dxa"/>
              <w:right w:w="10" w:type="dxa"/>
            </w:tcMar>
          </w:tcPr>
          <w:p w14:paraId="476F6BB4">
            <w:pPr>
              <w:widowControl/>
              <w:jc w:val="center"/>
            </w:pPr>
          </w:p>
          <w:p w14:paraId="1A1EC566">
            <w:pPr>
              <w:widowControl/>
              <w:jc w:val="center"/>
            </w:pPr>
          </w:p>
          <w:p w14:paraId="19D32B9E">
            <w:pPr>
              <w:widowControl/>
              <w:jc w:val="center"/>
            </w:pPr>
            <w:r>
              <w:rPr>
                <w:rFonts w:hint="eastAsia"/>
              </w:rPr>
              <w:t>年</w:t>
            </w:r>
          </w:p>
        </w:tc>
        <w:tc>
          <w:tcPr>
            <w:tcW w:w="981" w:type="pct"/>
            <w:tcMar>
              <w:top w:w="10" w:type="dxa"/>
              <w:left w:w="10" w:type="dxa"/>
              <w:right w:w="10" w:type="dxa"/>
            </w:tcMar>
          </w:tcPr>
          <w:p w14:paraId="697926E2">
            <w:pPr>
              <w:widowControl/>
              <w:jc w:val="center"/>
              <w:textAlignment w:val="center"/>
            </w:pPr>
          </w:p>
          <w:p w14:paraId="6451D5F3">
            <w:r>
              <w:rPr>
                <w:rFonts w:hint="eastAsia"/>
              </w:rPr>
              <w:t>《密码安全规划建议》</w:t>
            </w:r>
          </w:p>
        </w:tc>
      </w:tr>
      <w:tr w14:paraId="61C0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765C4389">
            <w:pPr>
              <w:pStyle w:val="10"/>
              <w:widowControl/>
              <w:numPr>
                <w:ilvl w:val="0"/>
                <w:numId w:val="1"/>
              </w:numPr>
              <w:ind w:firstLineChars="0"/>
              <w:jc w:val="center"/>
            </w:pPr>
          </w:p>
        </w:tc>
        <w:tc>
          <w:tcPr>
            <w:tcW w:w="542" w:type="pct"/>
            <w:tcMar>
              <w:top w:w="10" w:type="dxa"/>
              <w:left w:w="10" w:type="dxa"/>
              <w:right w:w="10" w:type="dxa"/>
            </w:tcMar>
            <w:vAlign w:val="center"/>
          </w:tcPr>
          <w:p w14:paraId="028E8976">
            <w:pPr>
              <w:widowControl/>
              <w:jc w:val="left"/>
            </w:pPr>
            <w:r>
              <w:rPr>
                <w:rFonts w:hint="eastAsia"/>
              </w:rPr>
              <w:t>数据安全文件解读服务</w:t>
            </w:r>
          </w:p>
        </w:tc>
        <w:tc>
          <w:tcPr>
            <w:tcW w:w="793" w:type="pct"/>
            <w:tcMar>
              <w:top w:w="10" w:type="dxa"/>
              <w:left w:w="10" w:type="dxa"/>
              <w:right w:w="10" w:type="dxa"/>
            </w:tcMar>
            <w:vAlign w:val="center"/>
          </w:tcPr>
          <w:p w14:paraId="6C7B4F37">
            <w:pPr>
              <w:widowControl/>
              <w:jc w:val="left"/>
            </w:pPr>
          </w:p>
        </w:tc>
        <w:tc>
          <w:tcPr>
            <w:tcW w:w="1582" w:type="pct"/>
            <w:tcMar>
              <w:top w:w="10" w:type="dxa"/>
              <w:left w:w="10" w:type="dxa"/>
              <w:right w:w="10" w:type="dxa"/>
            </w:tcMar>
          </w:tcPr>
          <w:p w14:paraId="591D4304">
            <w:pPr>
              <w:pStyle w:val="2"/>
            </w:pPr>
            <w:r>
              <w:rPr>
                <w:rFonts w:hint="eastAsia"/>
              </w:rPr>
              <w:t>提供数据安全相关文件解读服务，并提供建议方案</w:t>
            </w:r>
          </w:p>
        </w:tc>
        <w:tc>
          <w:tcPr>
            <w:tcW w:w="261" w:type="pct"/>
            <w:tcMar>
              <w:top w:w="10" w:type="dxa"/>
              <w:left w:w="10" w:type="dxa"/>
              <w:right w:w="10" w:type="dxa"/>
            </w:tcMar>
          </w:tcPr>
          <w:p w14:paraId="4470B8F3">
            <w:pPr>
              <w:widowControl/>
              <w:jc w:val="center"/>
            </w:pPr>
            <w:r>
              <w:rPr>
                <w:rFonts w:hint="eastAsia"/>
              </w:rPr>
              <w:t>1</w:t>
            </w:r>
          </w:p>
        </w:tc>
        <w:tc>
          <w:tcPr>
            <w:tcW w:w="302" w:type="pct"/>
            <w:tcMar>
              <w:top w:w="10" w:type="dxa"/>
              <w:left w:w="10" w:type="dxa"/>
              <w:right w:w="10" w:type="dxa"/>
            </w:tcMar>
          </w:tcPr>
          <w:p w14:paraId="51727558">
            <w:pPr>
              <w:widowControl/>
              <w:jc w:val="center"/>
            </w:pPr>
            <w:r>
              <w:rPr>
                <w:rFonts w:hint="eastAsia"/>
              </w:rPr>
              <w:t>年</w:t>
            </w:r>
          </w:p>
        </w:tc>
        <w:tc>
          <w:tcPr>
            <w:tcW w:w="981" w:type="pct"/>
            <w:tcMar>
              <w:top w:w="10" w:type="dxa"/>
              <w:left w:w="10" w:type="dxa"/>
              <w:right w:w="10" w:type="dxa"/>
            </w:tcMar>
          </w:tcPr>
          <w:p w14:paraId="0FFA74C1">
            <w:pPr>
              <w:widowControl/>
              <w:jc w:val="center"/>
              <w:textAlignment w:val="center"/>
            </w:pPr>
            <w:r>
              <w:rPr>
                <w:rFonts w:hint="eastAsia"/>
              </w:rPr>
              <w:t>《数据安全规划建议》</w:t>
            </w:r>
          </w:p>
        </w:tc>
      </w:tr>
      <w:tr w14:paraId="5596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9" w:type="pct"/>
          </w:tcPr>
          <w:p w14:paraId="79E54D84">
            <w:pPr>
              <w:pStyle w:val="10"/>
              <w:widowControl/>
              <w:numPr>
                <w:ilvl w:val="0"/>
                <w:numId w:val="1"/>
              </w:numPr>
              <w:ind w:firstLineChars="0"/>
              <w:jc w:val="center"/>
            </w:pPr>
          </w:p>
        </w:tc>
        <w:tc>
          <w:tcPr>
            <w:tcW w:w="542" w:type="pct"/>
            <w:tcMar>
              <w:top w:w="10" w:type="dxa"/>
              <w:left w:w="10" w:type="dxa"/>
              <w:right w:w="10" w:type="dxa"/>
            </w:tcMar>
          </w:tcPr>
          <w:p w14:paraId="34619022">
            <w:pPr>
              <w:widowControl/>
              <w:jc w:val="center"/>
              <w:rPr>
                <w:rFonts w:ascii="宋体" w:hAnsi="宋体"/>
                <w:kern w:val="0"/>
              </w:rPr>
            </w:pPr>
            <w:r>
              <w:rPr>
                <w:rFonts w:hint="eastAsia"/>
              </w:rPr>
              <w:t>人员驻点服务</w:t>
            </w:r>
          </w:p>
        </w:tc>
        <w:tc>
          <w:tcPr>
            <w:tcW w:w="793" w:type="pct"/>
            <w:tcMar>
              <w:top w:w="10" w:type="dxa"/>
              <w:left w:w="10" w:type="dxa"/>
              <w:right w:w="10" w:type="dxa"/>
            </w:tcMar>
          </w:tcPr>
          <w:p w14:paraId="28EE4ED4">
            <w:pPr>
              <w:widowControl/>
              <w:jc w:val="center"/>
              <w:rPr>
                <w:rFonts w:ascii="宋体" w:hAnsi="宋体"/>
                <w:kern w:val="0"/>
              </w:rPr>
            </w:pPr>
            <w:r>
              <w:rPr>
                <w:rFonts w:hint="eastAsia"/>
              </w:rPr>
              <w:t>采购方现场</w:t>
            </w:r>
          </w:p>
        </w:tc>
        <w:tc>
          <w:tcPr>
            <w:tcW w:w="1582" w:type="pct"/>
            <w:tcMar>
              <w:top w:w="10" w:type="dxa"/>
              <w:left w:w="10" w:type="dxa"/>
              <w:right w:w="10" w:type="dxa"/>
            </w:tcMar>
          </w:tcPr>
          <w:p w14:paraId="7E250BF6">
            <w:pPr>
              <w:pStyle w:val="2"/>
            </w:pPr>
            <w:r>
              <w:rPr>
                <w:rFonts w:hint="eastAsia"/>
              </w:rPr>
              <w:t>驻点安全工程师进行日常软硬件产品运维管理和相关网络安全运维工作，进行常态化安全运维服务，满足如下要求及内容：</w:t>
            </w:r>
          </w:p>
          <w:p w14:paraId="7D69B7A4">
            <w:pPr>
              <w:pStyle w:val="2"/>
            </w:pPr>
            <w:r>
              <w:rPr>
                <w:rFonts w:hint="eastAsia"/>
              </w:rPr>
              <w:t>1)驻点工程师为计算机类相关专业，有三年以上的网络安全服务工作经验。</w:t>
            </w:r>
            <w:bookmarkStart w:id="0" w:name="_GoBack"/>
            <w:bookmarkEnd w:id="0"/>
          </w:p>
          <w:p w14:paraId="0BACB57E">
            <w:pPr>
              <w:pStyle w:val="2"/>
            </w:pPr>
            <w:r>
              <w:rPr>
                <w:rFonts w:hint="eastAsia"/>
              </w:rPr>
              <w:t>2)保证1人×8小时×5天采购方现场驻点，其余时间（含周末、法定节假日等）听班；若有紧急突发事件或计划性工作安排，需到采购方现场提供运维技术保障；提供1年365天的7×24小时网络安全应急支撑响应服务。</w:t>
            </w:r>
          </w:p>
          <w:p w14:paraId="3580EF72">
            <w:pPr>
              <w:pStyle w:val="2"/>
            </w:pPr>
            <w:r>
              <w:rPr>
                <w:rFonts w:hint="eastAsia"/>
              </w:rPr>
              <w:t>3)熟悉医院及市场主流网络及安全产品的配置和操作。</w:t>
            </w:r>
          </w:p>
          <w:p w14:paraId="3CDE6A9A">
            <w:pPr>
              <w:pStyle w:val="2"/>
            </w:pPr>
            <w:r>
              <w:rPr>
                <w:rFonts w:hint="eastAsia"/>
              </w:rPr>
              <w:t>4) 协助进行安全设备基础策略配置。</w:t>
            </w:r>
          </w:p>
          <w:p w14:paraId="47643FDC">
            <w:pPr>
              <w:pStyle w:val="2"/>
            </w:pPr>
            <w:r>
              <w:rPr>
                <w:rFonts w:hint="eastAsia"/>
              </w:rPr>
              <w:t>5)能根据采购方现有网络安全现状，提供合理化的完善整改建议。</w:t>
            </w:r>
          </w:p>
          <w:p w14:paraId="202E97BC">
            <w:pPr>
              <w:pStyle w:val="2"/>
            </w:pPr>
            <w:r>
              <w:rPr>
                <w:rFonts w:hint="eastAsia"/>
              </w:rPr>
              <w:t>6)定期收集、汇整、核对采购方网络安全资产信息。</w:t>
            </w:r>
          </w:p>
          <w:p w14:paraId="214796CB">
            <w:pPr>
              <w:pStyle w:val="2"/>
            </w:pPr>
            <w:r>
              <w:rPr>
                <w:rFonts w:hint="eastAsia"/>
              </w:rPr>
              <w:t>7)定期对采购方机房、弱电井内的网络安全设备进行物理安全巡检，并予以记录及跟踪。</w:t>
            </w:r>
          </w:p>
          <w:p w14:paraId="1B2E55BE">
            <w:pPr>
              <w:pStyle w:val="2"/>
            </w:pPr>
            <w:r>
              <w:rPr>
                <w:rFonts w:hint="eastAsia"/>
              </w:rPr>
              <w:t>8)按照等保2.0要求，完成对采购方服务器、数据库、中间件、网络安全设备等日常安全加固辅助工作。</w:t>
            </w:r>
          </w:p>
          <w:p w14:paraId="30199F51">
            <w:pPr>
              <w:pStyle w:val="2"/>
            </w:pPr>
            <w:r>
              <w:rPr>
                <w:rFonts w:hint="eastAsia"/>
              </w:rPr>
              <w:t>9)实时跟进采购方IT运维管理平台和其他安全预警、审计设备中的预警及告警信息，记录、分析并处理。</w:t>
            </w:r>
          </w:p>
          <w:p w14:paraId="5CEBDC99">
            <w:pPr>
              <w:pStyle w:val="2"/>
            </w:pPr>
            <w:r>
              <w:rPr>
                <w:rFonts w:hint="eastAsia"/>
              </w:rPr>
              <w:t>10)密切关注网上或其他渠道获取的安全预警或漏洞信息，及时通告院方并跟进处理。</w:t>
            </w:r>
          </w:p>
          <w:p w14:paraId="50A6C5B8">
            <w:pPr>
              <w:pStyle w:val="2"/>
            </w:pPr>
            <w:r>
              <w:rPr>
                <w:rFonts w:hint="eastAsia"/>
              </w:rPr>
              <w:t>11)协助等保测评过程中材料收集、安全加固、差距分析、测评检查及问题整改等事项。</w:t>
            </w:r>
          </w:p>
          <w:p w14:paraId="02C599B9">
            <w:pPr>
              <w:pStyle w:val="2"/>
            </w:pPr>
            <w:r>
              <w:rPr>
                <w:rFonts w:hint="eastAsia"/>
              </w:rPr>
              <w:t>12)配合上级部门、安全机构进行信息安全检查，并根据检查报告进行问题跟进整改并予以反馈。</w:t>
            </w:r>
          </w:p>
          <w:p w14:paraId="51134E9D">
            <w:pPr>
              <w:pStyle w:val="2"/>
            </w:pPr>
            <w:r>
              <w:rPr>
                <w:rFonts w:hint="eastAsia"/>
              </w:rPr>
              <w:t>13)协助采购方搭建有效提升采购方运维效率的各类安全运维平台等系统，并定期协助完成对全院电脑终端系统安全漏洞补丁的推送及安装。</w:t>
            </w:r>
          </w:p>
          <w:p w14:paraId="7F26915F">
            <w:pPr>
              <w:pStyle w:val="2"/>
            </w:pPr>
            <w:r>
              <w:rPr>
                <w:rFonts w:hint="eastAsia"/>
              </w:rPr>
              <w:t>14)定期完成对安全设备系统、硬件的升级以及特征库、病毒库的更新。</w:t>
            </w:r>
          </w:p>
          <w:p w14:paraId="7C3E67F3">
            <w:pPr>
              <w:pStyle w:val="2"/>
            </w:pPr>
            <w:r>
              <w:rPr>
                <w:rFonts w:hint="eastAsia"/>
              </w:rPr>
              <w:t>15)定期完成对所有网络设备、安全设备的配置备份工作。</w:t>
            </w:r>
          </w:p>
          <w:p w14:paraId="673C7F85">
            <w:pPr>
              <w:pStyle w:val="2"/>
            </w:pPr>
            <w:r>
              <w:rPr>
                <w:rFonts w:hint="eastAsia"/>
              </w:rPr>
              <w:t>16)定期完成对防病毒软硬件使用情况的监测和筛查，对异常情况进行分析和处理。</w:t>
            </w:r>
          </w:p>
          <w:p w14:paraId="56346CFE">
            <w:pPr>
              <w:pStyle w:val="2"/>
            </w:pPr>
            <w:r>
              <w:rPr>
                <w:rFonts w:hint="eastAsia"/>
              </w:rPr>
              <w:t>17)定期对服务器、网络设备、安全设备的日志进行筛查、分析，针对异常事件进行跟踪、处理。</w:t>
            </w:r>
          </w:p>
          <w:p w14:paraId="1E5C7749">
            <w:pPr>
              <w:pStyle w:val="2"/>
            </w:pPr>
            <w:r>
              <w:rPr>
                <w:rFonts w:hint="eastAsia"/>
              </w:rPr>
              <w:t>18)协助院方开展应急演练工作。</w:t>
            </w:r>
          </w:p>
          <w:p w14:paraId="295EAF97">
            <w:pPr>
              <w:pStyle w:val="2"/>
            </w:pPr>
            <w:r>
              <w:rPr>
                <w:rFonts w:hint="eastAsia"/>
              </w:rPr>
              <w:t>19)协助组织采购方相关人员进行信息安全培训。</w:t>
            </w:r>
          </w:p>
        </w:tc>
        <w:tc>
          <w:tcPr>
            <w:tcW w:w="261" w:type="pct"/>
            <w:tcMar>
              <w:top w:w="10" w:type="dxa"/>
              <w:left w:w="10" w:type="dxa"/>
              <w:right w:w="10" w:type="dxa"/>
            </w:tcMar>
          </w:tcPr>
          <w:p w14:paraId="4C6CF8A2">
            <w:pPr>
              <w:widowControl/>
              <w:jc w:val="center"/>
              <w:rPr>
                <w:rFonts w:ascii="宋体" w:hAnsi="宋体"/>
                <w:kern w:val="0"/>
              </w:rPr>
            </w:pPr>
            <w:r>
              <w:rPr>
                <w:rFonts w:hint="eastAsia"/>
              </w:rPr>
              <w:t>1</w:t>
            </w:r>
          </w:p>
        </w:tc>
        <w:tc>
          <w:tcPr>
            <w:tcW w:w="302" w:type="pct"/>
            <w:tcMar>
              <w:top w:w="10" w:type="dxa"/>
              <w:left w:w="10" w:type="dxa"/>
              <w:right w:w="10" w:type="dxa"/>
            </w:tcMar>
          </w:tcPr>
          <w:p w14:paraId="479A7ED1">
            <w:pPr>
              <w:widowControl/>
              <w:jc w:val="center"/>
              <w:rPr>
                <w:rFonts w:ascii="宋体" w:hAnsi="宋体"/>
                <w:kern w:val="0"/>
              </w:rPr>
            </w:pPr>
            <w:r>
              <w:rPr>
                <w:rFonts w:hint="eastAsia"/>
              </w:rPr>
              <w:t>年</w:t>
            </w:r>
          </w:p>
        </w:tc>
        <w:tc>
          <w:tcPr>
            <w:tcW w:w="981" w:type="pct"/>
            <w:tcMar>
              <w:top w:w="10" w:type="dxa"/>
              <w:left w:w="10" w:type="dxa"/>
              <w:right w:w="10" w:type="dxa"/>
            </w:tcMar>
          </w:tcPr>
          <w:p w14:paraId="769CF9CE">
            <w:pPr>
              <w:widowControl/>
              <w:jc w:val="center"/>
              <w:textAlignment w:val="center"/>
              <w:rPr>
                <w:rFonts w:ascii="宋体" w:hAnsi="宋体"/>
                <w:kern w:val="0"/>
                <w:lang w:bidi="ar"/>
              </w:rPr>
            </w:pPr>
            <w:r>
              <w:rPr>
                <w:rFonts w:hint="eastAsia"/>
              </w:rPr>
              <w:t>《驻点周报》、《驻点月报》</w:t>
            </w:r>
          </w:p>
        </w:tc>
      </w:tr>
    </w:tbl>
    <w:p w14:paraId="380A56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043F1"/>
    <w:multiLevelType w:val="multilevel"/>
    <w:tmpl w:val="69B043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8F"/>
    <w:rsid w:val="0002715F"/>
    <w:rsid w:val="000E7E64"/>
    <w:rsid w:val="001143A5"/>
    <w:rsid w:val="001B6938"/>
    <w:rsid w:val="001F491B"/>
    <w:rsid w:val="002B1C0F"/>
    <w:rsid w:val="002E6DF0"/>
    <w:rsid w:val="002F3B08"/>
    <w:rsid w:val="00300807"/>
    <w:rsid w:val="00424287"/>
    <w:rsid w:val="00503A47"/>
    <w:rsid w:val="0052011C"/>
    <w:rsid w:val="00591559"/>
    <w:rsid w:val="005C4112"/>
    <w:rsid w:val="006A6E49"/>
    <w:rsid w:val="006C6F80"/>
    <w:rsid w:val="006F2041"/>
    <w:rsid w:val="0081538F"/>
    <w:rsid w:val="00891FED"/>
    <w:rsid w:val="0091058F"/>
    <w:rsid w:val="00A158F5"/>
    <w:rsid w:val="00A34A8F"/>
    <w:rsid w:val="00B628D8"/>
    <w:rsid w:val="00BC2074"/>
    <w:rsid w:val="00C73A01"/>
    <w:rsid w:val="00CC7858"/>
    <w:rsid w:val="00CD4D00"/>
    <w:rsid w:val="00DF1BA3"/>
    <w:rsid w:val="00E01C64"/>
    <w:rsid w:val="00E329D5"/>
    <w:rsid w:val="00EE71E4"/>
    <w:rsid w:val="00F024DB"/>
    <w:rsid w:val="6676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qFormat/>
    <w:uiPriority w:val="99"/>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3716</Words>
  <Characters>3860</Characters>
  <Lines>30</Lines>
  <Paragraphs>8</Paragraphs>
  <TotalTime>3096</TotalTime>
  <ScaleCrop>false</ScaleCrop>
  <LinksUpToDate>false</LinksUpToDate>
  <CharactersWithSpaces>4022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2025-01-26T01:32:00Z</dcterms:created>
  <dc:creator>Jason Jun</dc:creator>
  <cp:lastModifiedBy>Dan</cp:lastModifiedBy>
  <dcterms:modified xsi:type="dcterms:W3CDTF">2025-02-28T07:17:09Z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eyJoZGlkIjoiZTFlZjliMzU5MDlkZjYzNTgyM2M0MTM5ZjcyZmRhMzgiLCJ1c2VySWQiOiI1MDYwNDcyMzUifQ==</vt:lpwstr>
  </property>
  <property fmtid="{D5CDD505-2E9C-101B-9397-08002B2CF9AE}" pid="3" name="KSOProductBuildVer">
    <vt:lpwstr>2052-12.1.0.19770</vt:lpwstr>
  </property>
  <property fmtid="{D5CDD505-2E9C-101B-9397-08002B2CF9AE}" pid="4" name="ICV">
    <vt:lpwstr>EB108BB9421D4577AE6854386B4AA700_12</vt:lpwstr>
  </property>
</Properties>
</file>