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B469">
      <w:pPr>
        <w:snapToGrid/>
        <w:spacing w:before="0" w:beforeAutospacing="0" w:after="0" w:afterAutospacing="0" w:line="360" w:lineRule="auto"/>
        <w:jc w:val="center"/>
        <w:textAlignment w:val="baseline"/>
        <w:rPr>
          <w:rFonts w:hint="eastAsia" w:ascii="宋体" w:hAnsi="宋体" w:eastAsia="宋体"/>
          <w:b/>
          <w:bCs/>
          <w:i w:val="0"/>
          <w:caps w:val="0"/>
          <w:spacing w:val="0"/>
          <w:w w:val="100"/>
          <w:sz w:val="28"/>
          <w:szCs w:val="28"/>
        </w:rPr>
      </w:pPr>
      <w:r>
        <w:rPr>
          <w:rFonts w:hint="eastAsia" w:ascii="宋体" w:hAnsi="宋体" w:eastAsia="宋体"/>
          <w:b/>
          <w:bCs/>
          <w:i w:val="0"/>
          <w:caps w:val="0"/>
          <w:spacing w:val="0"/>
          <w:w w:val="100"/>
          <w:sz w:val="28"/>
          <w:szCs w:val="28"/>
        </w:rPr>
        <w:t>厦门市海沧医院3#</w:t>
      </w:r>
      <w:r>
        <w:rPr>
          <w:rFonts w:hint="eastAsia" w:ascii="宋体" w:hAnsi="宋体" w:eastAsia="宋体"/>
          <w:b/>
          <w:bCs/>
          <w:i w:val="0"/>
          <w:caps w:val="0"/>
          <w:spacing w:val="0"/>
          <w:w w:val="100"/>
          <w:sz w:val="28"/>
          <w:szCs w:val="28"/>
          <w:lang w:val="en-US" w:eastAsia="zh-CN"/>
        </w:rPr>
        <w:t>楼</w:t>
      </w:r>
      <w:r>
        <w:rPr>
          <w:rFonts w:hint="eastAsia" w:ascii="宋体" w:hAnsi="宋体" w:eastAsia="宋体"/>
          <w:b/>
          <w:bCs/>
          <w:i w:val="0"/>
          <w:caps w:val="0"/>
          <w:spacing w:val="0"/>
          <w:w w:val="100"/>
          <w:sz w:val="28"/>
          <w:szCs w:val="28"/>
        </w:rPr>
        <w:t>网络及机房升级改造项目</w:t>
      </w:r>
    </w:p>
    <w:p w14:paraId="2ED8B1AF">
      <w:pPr>
        <w:snapToGrid/>
        <w:spacing w:before="0" w:beforeAutospacing="0" w:after="0" w:afterAutospacing="0" w:line="360" w:lineRule="auto"/>
        <w:jc w:val="both"/>
        <w:textAlignment w:val="baseline"/>
        <w:rPr>
          <w:rFonts w:hint="eastAsia"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一、项目说明</w:t>
      </w:r>
    </w:p>
    <w:p w14:paraId="15E54036">
      <w:pPr>
        <w:snapToGrid/>
        <w:spacing w:before="0" w:beforeAutospacing="0" w:after="0" w:afterAutospacing="0" w:line="360" w:lineRule="auto"/>
        <w:ind w:firstLine="480"/>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目前我院3号楼内网、外网系统的汇聚交换机和接入交换机已使用多年，随着信息网络技术的发展，部分设备已出现技术性能瓶颈且无法升级改造。为更好保证我院3号楼部分的内网、外网的高效应用，迫切需要对内网、外网的汇聚交换机、接入交换机设备进行改造升级。</w:t>
      </w:r>
    </w:p>
    <w:p w14:paraId="2BEE1FAA">
      <w:pPr>
        <w:snapToGrid/>
        <w:spacing w:before="0" w:beforeAutospacing="0" w:after="0" w:afterAutospacing="0" w:line="360" w:lineRule="auto"/>
        <w:ind w:firstLine="480"/>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同时，结合我院内部规划，原3号楼的计算机网络主干光缆经过的区域需进行改造重建，为保障3号楼的计算机网络主干稳定且预留部分空间发展，本次规划2条24芯室外单模光缆，从1号楼4层数据中心机房敷设到3号楼4层信息科汇聚机房。</w:t>
      </w:r>
    </w:p>
    <w:p w14:paraId="49F6CADE">
      <w:pPr>
        <w:snapToGrid/>
        <w:spacing w:before="0" w:beforeAutospacing="0" w:after="0" w:afterAutospacing="0" w:line="360" w:lineRule="auto"/>
        <w:ind w:firstLine="480"/>
        <w:jc w:val="both"/>
        <w:textAlignment w:val="baseline"/>
        <w:rPr>
          <w:rFonts w:hint="eastAsia" w:ascii="宋体" w:hAnsi="宋体" w:eastAsia="宋体"/>
          <w:b w:val="0"/>
          <w:i w:val="0"/>
          <w:caps w:val="0"/>
          <w:spacing w:val="0"/>
          <w:w w:val="100"/>
          <w:sz w:val="24"/>
          <w:szCs w:val="24"/>
        </w:rPr>
      </w:pPr>
    </w:p>
    <w:p w14:paraId="6C522CA9">
      <w:pPr>
        <w:snapToGrid/>
        <w:spacing w:before="0" w:beforeAutospacing="0" w:after="0" w:afterAutospacing="0" w:line="360" w:lineRule="auto"/>
        <w:jc w:val="both"/>
        <w:textAlignment w:val="baseline"/>
        <w:rPr>
          <w:rFonts w:hint="eastAsia"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二、网络拓扑规划设计</w:t>
      </w:r>
    </w:p>
    <w:p w14:paraId="3094D490">
      <w:pPr>
        <w:snapToGrid/>
        <w:spacing w:before="0" w:beforeAutospacing="0" w:after="0" w:afterAutospacing="0" w:line="360" w:lineRule="auto"/>
        <w:ind w:firstLine="480"/>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本次改造遵循原有网络架构，不改变原有网络的物理架构，包括网络配置信息等。本次项目需将原有网络设备的配置信息完整迁移到新升级的改造设备上。</w:t>
      </w:r>
    </w:p>
    <w:p w14:paraId="5B0E1915">
      <w:pPr>
        <w:snapToGrid/>
        <w:spacing w:before="0" w:beforeAutospacing="0" w:after="0" w:afterAutospacing="0" w:line="360" w:lineRule="auto"/>
        <w:jc w:val="both"/>
        <w:textAlignment w:val="baseline"/>
        <w:rPr>
          <w:rFonts w:hint="eastAsia"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本次内网改造拓扑图、外网改造拓扑图如下：</w:t>
      </w:r>
    </w:p>
    <w:p w14:paraId="4058AA04">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lang w:eastAsia="zh-CN"/>
        </w:rPr>
      </w:pPr>
      <w:r>
        <w:rPr>
          <w:rFonts w:hint="eastAsia" w:ascii="宋体" w:hAnsi="宋体" w:eastAsia="宋体"/>
          <w:b w:val="0"/>
          <w:i w:val="0"/>
          <w:caps w:val="0"/>
          <w:spacing w:val="0"/>
          <w:w w:val="100"/>
          <w:sz w:val="24"/>
          <w:szCs w:val="24"/>
          <w:lang w:eastAsia="zh-CN"/>
        </w:rPr>
        <w:drawing>
          <wp:inline distT="0" distB="0" distL="114300" distR="114300">
            <wp:extent cx="5270500" cy="3547745"/>
            <wp:effectExtent l="0" t="0" r="6350" b="14605"/>
            <wp:docPr id="1" name="图片 1" descr="6ef9066f8f89ac56f8898603b9f6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f9066f8f89ac56f8898603b9f6e5b"/>
                    <pic:cNvPicPr>
                      <a:picLocks noChangeAspect="1"/>
                    </pic:cNvPicPr>
                  </pic:nvPicPr>
                  <pic:blipFill>
                    <a:blip r:embed="rId4"/>
                    <a:stretch>
                      <a:fillRect/>
                    </a:stretch>
                  </pic:blipFill>
                  <pic:spPr>
                    <a:xfrm>
                      <a:off x="0" y="0"/>
                      <a:ext cx="5270500" cy="3547745"/>
                    </a:xfrm>
                    <a:prstGeom prst="rect">
                      <a:avLst/>
                    </a:prstGeom>
                  </pic:spPr>
                </pic:pic>
              </a:graphicData>
            </a:graphic>
          </wp:inline>
        </w:drawing>
      </w:r>
    </w:p>
    <w:p w14:paraId="04E7B6A9">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p>
    <w:p w14:paraId="19A9C0D7">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p>
    <w:p w14:paraId="3D375078">
      <w:pPr>
        <w:snapToGrid/>
        <w:spacing w:before="0" w:beforeAutospacing="0" w:after="0" w:afterAutospacing="0" w:line="360" w:lineRule="auto"/>
        <w:jc w:val="both"/>
        <w:textAlignment w:val="baseline"/>
        <w:rPr>
          <w:rFonts w:hint="eastAsia"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三、主要设备清单及技术参数要求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100"/>
        <w:gridCol w:w="916"/>
        <w:gridCol w:w="461"/>
        <w:gridCol w:w="5584"/>
      </w:tblGrid>
      <w:tr w14:paraId="1C1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54E2EA28">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序号</w:t>
            </w:r>
          </w:p>
        </w:tc>
        <w:tc>
          <w:tcPr>
            <w:tcW w:w="0" w:type="auto"/>
            <w:shd w:val="clear" w:color="auto" w:fill="auto"/>
            <w:vAlign w:val="center"/>
          </w:tcPr>
          <w:p w14:paraId="203DE65C">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设备名称</w:t>
            </w:r>
          </w:p>
        </w:tc>
        <w:tc>
          <w:tcPr>
            <w:tcW w:w="0" w:type="auto"/>
            <w:shd w:val="clear" w:color="auto" w:fill="auto"/>
            <w:vAlign w:val="center"/>
          </w:tcPr>
          <w:p w14:paraId="01BB2B7F">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数量</w:t>
            </w:r>
          </w:p>
        </w:tc>
        <w:tc>
          <w:tcPr>
            <w:tcW w:w="461" w:type="dxa"/>
            <w:shd w:val="clear" w:color="auto" w:fill="auto"/>
            <w:vAlign w:val="center"/>
          </w:tcPr>
          <w:p w14:paraId="048052F9">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单位</w:t>
            </w:r>
          </w:p>
        </w:tc>
        <w:tc>
          <w:tcPr>
            <w:tcW w:w="5584" w:type="dxa"/>
            <w:shd w:val="clear" w:color="auto" w:fill="auto"/>
            <w:vAlign w:val="center"/>
          </w:tcPr>
          <w:p w14:paraId="5D96814A">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主要配置</w:t>
            </w:r>
          </w:p>
        </w:tc>
      </w:tr>
      <w:tr w14:paraId="54CC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vAlign w:val="center"/>
          </w:tcPr>
          <w:p w14:paraId="78C7870D">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一</w:t>
            </w:r>
          </w:p>
        </w:tc>
        <w:tc>
          <w:tcPr>
            <w:tcW w:w="2477" w:type="dxa"/>
            <w:gridSpan w:val="3"/>
            <w:shd w:val="clear" w:color="auto" w:fill="auto"/>
            <w:vAlign w:val="center"/>
          </w:tcPr>
          <w:p w14:paraId="19AE458A">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交换机设备升级更换</w:t>
            </w:r>
          </w:p>
        </w:tc>
        <w:tc>
          <w:tcPr>
            <w:tcW w:w="5584" w:type="dxa"/>
            <w:shd w:val="clear" w:color="auto" w:fill="auto"/>
            <w:vAlign w:val="center"/>
          </w:tcPr>
          <w:p w14:paraId="4DAE6BDD">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p>
        </w:tc>
      </w:tr>
      <w:tr w14:paraId="1995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5844BF7B">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1</w:t>
            </w:r>
          </w:p>
        </w:tc>
        <w:tc>
          <w:tcPr>
            <w:tcW w:w="0" w:type="auto"/>
            <w:shd w:val="clear" w:color="auto" w:fill="auto"/>
            <w:vAlign w:val="center"/>
          </w:tcPr>
          <w:p w14:paraId="6072B869">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汇聚交换机</w:t>
            </w:r>
          </w:p>
        </w:tc>
        <w:tc>
          <w:tcPr>
            <w:tcW w:w="0" w:type="auto"/>
            <w:shd w:val="clear" w:color="auto" w:fill="auto"/>
            <w:noWrap/>
            <w:vAlign w:val="center"/>
          </w:tcPr>
          <w:p w14:paraId="2C196F1C">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2.00 </w:t>
            </w:r>
          </w:p>
        </w:tc>
        <w:tc>
          <w:tcPr>
            <w:tcW w:w="461" w:type="dxa"/>
            <w:shd w:val="clear" w:color="auto" w:fill="auto"/>
            <w:noWrap/>
            <w:vAlign w:val="center"/>
          </w:tcPr>
          <w:p w14:paraId="66C84C47">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台</w:t>
            </w:r>
          </w:p>
        </w:tc>
        <w:tc>
          <w:tcPr>
            <w:tcW w:w="5584" w:type="dxa"/>
            <w:shd w:val="clear" w:color="auto" w:fill="auto"/>
            <w:vAlign w:val="center"/>
          </w:tcPr>
          <w:p w14:paraId="2B47C2D2">
            <w:pPr>
              <w:widowControl/>
              <w:numPr>
                <w:ilvl w:val="0"/>
                <w:numId w:val="1"/>
              </w:numPr>
              <w:snapToGrid/>
              <w:spacing w:before="0" w:beforeAutospacing="0" w:after="0" w:afterAutospacing="0" w:line="360" w:lineRule="auto"/>
              <w:jc w:val="left"/>
              <w:textAlignment w:val="baseline"/>
              <w:rPr>
                <w:rFonts w:hint="eastAsia" w:ascii="宋体" w:hAnsi="宋体" w:eastAsia="宋体"/>
                <w:b w:val="0"/>
                <w:i w:val="0"/>
                <w:caps w:val="0"/>
                <w:spacing w:val="0"/>
                <w:w w:val="100"/>
                <w:sz w:val="20"/>
                <w:szCs w:val="20"/>
                <w:lang w:eastAsia="zh-CN"/>
              </w:rPr>
            </w:pPr>
            <w:r>
              <w:rPr>
                <w:rFonts w:hint="eastAsia" w:ascii="宋体" w:hAnsi="宋体" w:eastAsia="宋体"/>
                <w:b w:val="0"/>
                <w:i w:val="0"/>
                <w:caps w:val="0"/>
                <w:spacing w:val="0"/>
                <w:w w:val="100"/>
                <w:sz w:val="20"/>
                <w:szCs w:val="20"/>
              </w:rPr>
              <w:t>交换容量2.56Tbps/25.6Tbps， 包转发率：786Mpps；</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2、端口端口：24个10/100/1000M Base-T 以太网端口，4个1/10/25GE SFP28，2个40/100GE QSFP28；</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3、支持2个扩展槽；并实配1个8端口万兆光口板；</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4、支持可扩展双电源并实配双电源；</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5、国产化演进需求，设备关键芯片CPU芯片、NP芯片采用所投品牌设备厂家自研芯片</w:t>
            </w:r>
            <w:r>
              <w:rPr>
                <w:rFonts w:hint="eastAsia" w:ascii="宋体" w:hAnsi="宋体" w:eastAsia="宋体"/>
                <w:b w:val="0"/>
                <w:i w:val="0"/>
                <w:caps w:val="0"/>
                <w:spacing w:val="0"/>
                <w:w w:val="100"/>
                <w:sz w:val="20"/>
                <w:szCs w:val="20"/>
                <w:lang w:eastAsia="zh-CN"/>
              </w:rPr>
              <w:t>；</w:t>
            </w:r>
          </w:p>
          <w:p w14:paraId="0A9C1B99">
            <w:pPr>
              <w:widowControl/>
              <w:numPr>
                <w:ilvl w:val="0"/>
                <w:numId w:val="0"/>
              </w:numPr>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6、支持静态路由由、RIPv1/2、OSPF、OSPFv3、BGP、BGP4+；</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7、满足业务的可靠性需求，设备支持网络切片能力，链路拥塞不影响该链路上切片内的流量，切片内不超过切片带宽的流量0丢包。</w:t>
            </w:r>
          </w:p>
          <w:p w14:paraId="38C5F490">
            <w:pPr>
              <w:widowControl/>
              <w:numPr>
                <w:ilvl w:val="0"/>
                <w:numId w:val="0"/>
              </w:numPr>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8、支持4K个VLAN、支持Guest VLAN、Voice VLAN；</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9、支持IPCA 2.0（即支持直接对业务报文标记以获得丢包数量和丢包率的实时统计）；</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10、支持双机堆叠技术；</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11、支持业务随行功能（即客户无论在何时何地接入网络，用户的权限都都一样）；</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12、支持VxLAN二层网关、三层网关</w:t>
            </w:r>
            <w:r>
              <w:rPr>
                <w:rFonts w:hint="eastAsia" w:ascii="宋体" w:hAnsi="宋体" w:eastAsia="宋体"/>
                <w:b w:val="0"/>
                <w:i w:val="0"/>
                <w:caps w:val="0"/>
                <w:spacing w:val="0"/>
                <w:w w:val="100"/>
                <w:sz w:val="20"/>
                <w:szCs w:val="20"/>
                <w:lang w:eastAsia="zh-CN"/>
              </w:rPr>
              <w:t>；</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13、设备安全考虑，设备支持全端口macsec、可信启动数字签名功能；</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14、确保突发不丢包，设备端口缓存不低于1700KB；</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15、AC掉电时候能告警，设备支持临终遗言功能；</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16、设备支持telemetry协议技术；支持SNMP管理协议。</w:t>
            </w:r>
          </w:p>
        </w:tc>
      </w:tr>
      <w:tr w14:paraId="343F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58F1C2E6">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2</w:t>
            </w:r>
          </w:p>
        </w:tc>
        <w:tc>
          <w:tcPr>
            <w:tcW w:w="0" w:type="auto"/>
            <w:shd w:val="clear" w:color="auto" w:fill="auto"/>
            <w:vAlign w:val="center"/>
          </w:tcPr>
          <w:p w14:paraId="4DCEC82C">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48口接入交换机（内网）</w:t>
            </w:r>
          </w:p>
        </w:tc>
        <w:tc>
          <w:tcPr>
            <w:tcW w:w="0" w:type="auto"/>
            <w:shd w:val="clear" w:color="auto" w:fill="auto"/>
            <w:noWrap/>
            <w:vAlign w:val="center"/>
          </w:tcPr>
          <w:p w14:paraId="10E218ED">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9.00 </w:t>
            </w:r>
          </w:p>
        </w:tc>
        <w:tc>
          <w:tcPr>
            <w:tcW w:w="461" w:type="dxa"/>
            <w:shd w:val="clear" w:color="auto" w:fill="auto"/>
            <w:noWrap/>
            <w:vAlign w:val="center"/>
          </w:tcPr>
          <w:p w14:paraId="4CE306E0">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台</w:t>
            </w:r>
          </w:p>
        </w:tc>
        <w:tc>
          <w:tcPr>
            <w:tcW w:w="5584" w:type="dxa"/>
            <w:shd w:val="clear" w:color="auto" w:fill="auto"/>
            <w:vAlign w:val="center"/>
          </w:tcPr>
          <w:p w14:paraId="5419D24A">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1、交换容量1.28Tbps/12.8Tbps， 包转发率：462Mpps；</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2、端口：48个千兆电口，4个万兆光口；</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3、支持1个扩展槽，支持可扩展双电源，实配1个电源；</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4、支持作为超级虚拟网（SVF）的AS节点，SVF能够将核心/汇聚层设备和接入层设备虚拟为一个网元进行管理；</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5、静态路由、RIPv1/2、RIPng、OSPF、OSPFv3、ECMP、ISIS、ISISv6、BGP、BGP4+；</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6、支持CPU防攻击、动态ARP检查、IP源地址保护、安全移动等多种安全功能；</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7、支持4K个VLAN、支持Guest VLAN、Voice VLAN；</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8、交换机MAC表支持32K（32，768）个地址，匹配MAC表中所有MAC地址的浏览正常转发不丢包且不广播；</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9、支持通过云管理平台对交换机进行云端配置、监控、巡检等，可以减少现场的部署和运维的人力投入，从而降低网络的OPEX；</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10、支持PPPoE+(PPPoE中间代理)功能；</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11、支持双机堆叠技术；</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12、支持Telemetry技术，精确地采集并主动上报状态数据，实现精细化监控和运维；</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13、支持MACsec功能，对保温进行加密等安全措施；</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14、支持SNMP管理协议。</w:t>
            </w:r>
          </w:p>
        </w:tc>
      </w:tr>
      <w:tr w14:paraId="5F31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5509C76A">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3</w:t>
            </w:r>
          </w:p>
        </w:tc>
        <w:tc>
          <w:tcPr>
            <w:tcW w:w="0" w:type="auto"/>
            <w:shd w:val="clear" w:color="auto" w:fill="auto"/>
            <w:vAlign w:val="center"/>
          </w:tcPr>
          <w:p w14:paraId="7334082B">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48口接入交换机（外网）</w:t>
            </w:r>
          </w:p>
        </w:tc>
        <w:tc>
          <w:tcPr>
            <w:tcW w:w="0" w:type="auto"/>
            <w:shd w:val="clear" w:color="auto" w:fill="auto"/>
            <w:noWrap/>
            <w:vAlign w:val="center"/>
          </w:tcPr>
          <w:p w14:paraId="2E2A5195">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9.00</w:t>
            </w:r>
          </w:p>
        </w:tc>
        <w:tc>
          <w:tcPr>
            <w:tcW w:w="461" w:type="dxa"/>
            <w:shd w:val="clear" w:color="auto" w:fill="auto"/>
            <w:noWrap/>
            <w:vAlign w:val="center"/>
          </w:tcPr>
          <w:p w14:paraId="288893A0">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台</w:t>
            </w:r>
          </w:p>
        </w:tc>
        <w:tc>
          <w:tcPr>
            <w:tcW w:w="5584" w:type="dxa"/>
            <w:shd w:val="clear" w:color="auto" w:fill="auto"/>
            <w:vAlign w:val="center"/>
          </w:tcPr>
          <w:p w14:paraId="1A943A71">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1、交换容量≥758Gbps，包转发率≥132Mpps</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2、支持48个10/100/1000Base-T以太网端口，4个千兆SFP</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3、支持1+1电源备份，设备默认带1个150W交流电源模块;</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4、支持融合AC管理功能，整机可管理1K AP。</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5、支持MAC地址≥256K，支持ARP表项≥64K</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6、支持4K VLAN，支持QinQ，灵活QinQ、支持端口VLAN、协议VLAN、IP子网VLAN，支持IEEE 802.1d(STP), 802.w(RSTP), 802.1s(MSTP)</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7、支持策略VLAN，支持PVLAN/MUX VLA，支持静态路由、RIP v1/v2、OSPF、BGP、ISIS、RIPng、OSPFv3、ISISv6、BGP4+，支持策略路由、路由策略、VRRP、BFD for OSPF、BGP、IS-IS、Static Route</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8、支持VxLAN功能，支持BGP EVPN，支持分布式 Anycast 网关，支持VxLAN的自动化部署</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9、支持DRR、SP、DRR+SP队列调度算法支持双向端口限速、广播风暴抑制功能</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10、支持堆叠，主机堆叠数不小于9台。</w:t>
            </w:r>
            <w:r>
              <w:rPr>
                <w:rFonts w:hint="eastAsia" w:ascii="宋体" w:hAnsi="宋体" w:eastAsia="宋体"/>
                <w:b w:val="0"/>
                <w:i w:val="0"/>
                <w:caps w:val="0"/>
                <w:spacing w:val="0"/>
                <w:w w:val="100"/>
                <w:sz w:val="20"/>
                <w:szCs w:val="20"/>
              </w:rPr>
              <w:br w:type="textWrapping"/>
            </w:r>
            <w:r>
              <w:rPr>
                <w:rFonts w:hint="eastAsia" w:ascii="宋体" w:hAnsi="宋体" w:eastAsia="宋体"/>
                <w:b w:val="0"/>
                <w:i w:val="0"/>
                <w:caps w:val="0"/>
                <w:spacing w:val="0"/>
                <w:w w:val="100"/>
                <w:sz w:val="20"/>
                <w:szCs w:val="20"/>
              </w:rPr>
              <w:t>11、支持DHCPv6 Snooping，IP Source Guard，SAVI等安全特性，支持防ARP攻击、DOS攻击、ICMP防攻击、CPU防攻</w:t>
            </w:r>
          </w:p>
        </w:tc>
      </w:tr>
      <w:tr w14:paraId="779B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4543AE78">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4</w:t>
            </w:r>
          </w:p>
        </w:tc>
        <w:tc>
          <w:tcPr>
            <w:tcW w:w="0" w:type="auto"/>
            <w:shd w:val="clear" w:color="auto" w:fill="auto"/>
            <w:vAlign w:val="center"/>
          </w:tcPr>
          <w:p w14:paraId="5088FC26">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千兆单模光模块</w:t>
            </w:r>
          </w:p>
        </w:tc>
        <w:tc>
          <w:tcPr>
            <w:tcW w:w="0" w:type="auto"/>
            <w:shd w:val="clear" w:color="auto" w:fill="auto"/>
            <w:noWrap/>
            <w:vAlign w:val="center"/>
          </w:tcPr>
          <w:p w14:paraId="323E0D61">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8.00 </w:t>
            </w:r>
          </w:p>
        </w:tc>
        <w:tc>
          <w:tcPr>
            <w:tcW w:w="461" w:type="dxa"/>
            <w:shd w:val="clear" w:color="auto" w:fill="auto"/>
            <w:noWrap/>
            <w:vAlign w:val="center"/>
          </w:tcPr>
          <w:p w14:paraId="11941856">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个</w:t>
            </w:r>
          </w:p>
        </w:tc>
        <w:tc>
          <w:tcPr>
            <w:tcW w:w="5584" w:type="dxa"/>
            <w:shd w:val="clear" w:color="auto" w:fill="auto"/>
            <w:vAlign w:val="center"/>
          </w:tcPr>
          <w:p w14:paraId="4904AE0B">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光模块-eSFP-GE-单模模块(1310nm,10km,LC)</w:t>
            </w:r>
          </w:p>
        </w:tc>
      </w:tr>
      <w:tr w14:paraId="77B0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50EDAB9F">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5</w:t>
            </w:r>
          </w:p>
        </w:tc>
        <w:tc>
          <w:tcPr>
            <w:tcW w:w="0" w:type="auto"/>
            <w:shd w:val="clear" w:color="auto" w:fill="auto"/>
            <w:vAlign w:val="center"/>
          </w:tcPr>
          <w:p w14:paraId="48DDD7FD">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lang w:eastAsia="zh-CN"/>
              </w:rPr>
            </w:pPr>
            <w:r>
              <w:rPr>
                <w:rFonts w:hint="eastAsia" w:ascii="宋体" w:hAnsi="宋体" w:eastAsia="宋体" w:cs="Arial"/>
                <w:b w:val="0"/>
                <w:i w:val="0"/>
                <w:caps w:val="0"/>
                <w:spacing w:val="0"/>
                <w:w w:val="100"/>
                <w:kern w:val="0"/>
                <w:sz w:val="20"/>
                <w:szCs w:val="20"/>
              </w:rPr>
              <w:t>安装调试费</w:t>
            </w:r>
            <w:r>
              <w:rPr>
                <w:rFonts w:hint="eastAsia" w:ascii="宋体" w:hAnsi="宋体" w:eastAsia="宋体" w:cs="Arial"/>
                <w:b w:val="0"/>
                <w:i w:val="0"/>
                <w:caps w:val="0"/>
                <w:spacing w:val="0"/>
                <w:w w:val="100"/>
                <w:kern w:val="0"/>
                <w:sz w:val="20"/>
                <w:szCs w:val="20"/>
                <w:lang w:eastAsia="zh-CN"/>
              </w:rPr>
              <w:t>含税</w:t>
            </w:r>
          </w:p>
        </w:tc>
        <w:tc>
          <w:tcPr>
            <w:tcW w:w="0" w:type="auto"/>
            <w:shd w:val="clear" w:color="auto" w:fill="auto"/>
            <w:noWrap/>
            <w:vAlign w:val="center"/>
          </w:tcPr>
          <w:p w14:paraId="01B3EDF7">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1.00 </w:t>
            </w:r>
          </w:p>
        </w:tc>
        <w:tc>
          <w:tcPr>
            <w:tcW w:w="461" w:type="dxa"/>
            <w:shd w:val="clear" w:color="auto" w:fill="auto"/>
            <w:noWrap/>
            <w:vAlign w:val="center"/>
          </w:tcPr>
          <w:p w14:paraId="6EBCC32B">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项</w:t>
            </w:r>
          </w:p>
        </w:tc>
        <w:tc>
          <w:tcPr>
            <w:tcW w:w="5584" w:type="dxa"/>
            <w:shd w:val="clear" w:color="auto" w:fill="auto"/>
            <w:vAlign w:val="center"/>
          </w:tcPr>
          <w:p w14:paraId="5A98296E">
            <w:pPr>
              <w:widowControl/>
              <w:snapToGrid/>
              <w:spacing w:before="0" w:beforeAutospacing="0" w:after="0" w:afterAutospacing="0" w:line="360" w:lineRule="auto"/>
              <w:jc w:val="left"/>
              <w:textAlignment w:val="baseline"/>
              <w:rPr>
                <w:rFonts w:hint="eastAsia" w:ascii="宋体" w:hAnsi="宋体" w:eastAsia="宋体"/>
                <w:b w:val="0"/>
                <w:i w:val="0"/>
                <w:caps w:val="0"/>
                <w:spacing w:val="0"/>
                <w:w w:val="100"/>
                <w:sz w:val="20"/>
                <w:szCs w:val="20"/>
                <w:lang w:eastAsia="zh-CN"/>
              </w:rPr>
            </w:pPr>
            <w:r>
              <w:rPr>
                <w:rFonts w:hint="eastAsia" w:ascii="宋体" w:hAnsi="宋体" w:eastAsia="宋体" w:cs="Arial"/>
                <w:b w:val="0"/>
                <w:i w:val="0"/>
                <w:caps w:val="0"/>
                <w:spacing w:val="0"/>
                <w:w w:val="100"/>
                <w:kern w:val="0"/>
                <w:sz w:val="20"/>
                <w:szCs w:val="20"/>
              </w:rPr>
              <w:t>　</w:t>
            </w:r>
            <w:r>
              <w:rPr>
                <w:rFonts w:hint="eastAsia" w:ascii="宋体" w:hAnsi="宋体" w:eastAsia="宋体" w:cs="Arial"/>
                <w:b w:val="0"/>
                <w:i w:val="0"/>
                <w:caps w:val="0"/>
                <w:spacing w:val="0"/>
                <w:w w:val="100"/>
                <w:kern w:val="0"/>
                <w:sz w:val="20"/>
                <w:szCs w:val="20"/>
                <w:lang w:eastAsia="zh-CN"/>
              </w:rPr>
              <w:t>包括对新设备的安装调试，并对原有线路的理线整理</w:t>
            </w:r>
          </w:p>
        </w:tc>
      </w:tr>
      <w:tr w14:paraId="7320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0A7A4388">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二</w:t>
            </w:r>
          </w:p>
        </w:tc>
        <w:tc>
          <w:tcPr>
            <w:tcW w:w="2477" w:type="dxa"/>
            <w:gridSpan w:val="3"/>
            <w:shd w:val="clear" w:color="auto" w:fill="auto"/>
            <w:vAlign w:val="center"/>
          </w:tcPr>
          <w:p w14:paraId="138FECD1">
            <w:pPr>
              <w:widowControl/>
              <w:snapToGrid/>
              <w:spacing w:before="0" w:beforeAutospacing="0" w:after="0" w:afterAutospacing="0" w:line="360" w:lineRule="auto"/>
              <w:jc w:val="center"/>
              <w:textAlignment w:val="baseline"/>
              <w:rPr>
                <w:rFonts w:hint="eastAsia" w:ascii="宋体" w:hAnsi="宋体" w:eastAsia="宋体" w:cs="Arial"/>
                <w:b/>
                <w:bCs/>
                <w:i w:val="0"/>
                <w:caps w:val="0"/>
                <w:spacing w:val="0"/>
                <w:w w:val="100"/>
                <w:kern w:val="0"/>
                <w:sz w:val="20"/>
                <w:szCs w:val="20"/>
              </w:rPr>
            </w:pPr>
            <w:r>
              <w:rPr>
                <w:rFonts w:hint="eastAsia" w:ascii="宋体" w:hAnsi="宋体" w:eastAsia="宋体" w:cs="Arial"/>
                <w:b/>
                <w:bCs/>
                <w:i w:val="0"/>
                <w:caps w:val="0"/>
                <w:spacing w:val="0"/>
                <w:w w:val="100"/>
                <w:kern w:val="0"/>
                <w:sz w:val="20"/>
                <w:szCs w:val="20"/>
              </w:rPr>
              <w:t>室外主干光缆敷设</w:t>
            </w:r>
          </w:p>
        </w:tc>
        <w:tc>
          <w:tcPr>
            <w:tcW w:w="5584" w:type="dxa"/>
            <w:shd w:val="clear" w:color="auto" w:fill="auto"/>
            <w:vAlign w:val="center"/>
          </w:tcPr>
          <w:p w14:paraId="137CC693">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lang w:eastAsia="zh-CN"/>
              </w:rPr>
            </w:pPr>
            <w:r>
              <w:rPr>
                <w:rFonts w:hint="eastAsia" w:ascii="宋体" w:hAnsi="宋体" w:eastAsia="宋体" w:cs="Arial"/>
                <w:b/>
                <w:bCs/>
                <w:i w:val="0"/>
                <w:caps w:val="0"/>
                <w:spacing w:val="0"/>
                <w:w w:val="100"/>
                <w:kern w:val="0"/>
                <w:sz w:val="20"/>
                <w:szCs w:val="20"/>
                <w:lang w:eastAsia="zh-CN"/>
              </w:rPr>
              <w:t>单列询价作为参考，是否实施另行考虑</w:t>
            </w:r>
          </w:p>
        </w:tc>
      </w:tr>
      <w:tr w14:paraId="075A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32A41673">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1</w:t>
            </w:r>
          </w:p>
        </w:tc>
        <w:tc>
          <w:tcPr>
            <w:tcW w:w="0" w:type="auto"/>
            <w:shd w:val="clear" w:color="000000" w:fill="FFFFFF"/>
            <w:vAlign w:val="center"/>
          </w:tcPr>
          <w:p w14:paraId="5BFDFC16">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24芯室外单模铠装光缆</w:t>
            </w:r>
          </w:p>
        </w:tc>
        <w:tc>
          <w:tcPr>
            <w:tcW w:w="0" w:type="auto"/>
            <w:shd w:val="clear" w:color="000000" w:fill="FFFFFF"/>
            <w:vAlign w:val="center"/>
          </w:tcPr>
          <w:p w14:paraId="39BCCEAE">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1400.00 </w:t>
            </w:r>
          </w:p>
        </w:tc>
        <w:tc>
          <w:tcPr>
            <w:tcW w:w="461" w:type="dxa"/>
            <w:shd w:val="clear" w:color="000000" w:fill="FFFFFF"/>
            <w:vAlign w:val="center"/>
          </w:tcPr>
          <w:p w14:paraId="1B51B843">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米</w:t>
            </w:r>
          </w:p>
        </w:tc>
        <w:tc>
          <w:tcPr>
            <w:tcW w:w="5584" w:type="dxa"/>
            <w:shd w:val="clear" w:color="auto" w:fill="auto"/>
            <w:vAlign w:val="center"/>
          </w:tcPr>
          <w:p w14:paraId="661EBAD3">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24芯室外单模，铠装</w:t>
            </w:r>
          </w:p>
        </w:tc>
      </w:tr>
      <w:tr w14:paraId="6ACA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3935A22D">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2</w:t>
            </w:r>
          </w:p>
        </w:tc>
        <w:tc>
          <w:tcPr>
            <w:tcW w:w="0" w:type="auto"/>
            <w:shd w:val="clear" w:color="000000" w:fill="FFFFFF"/>
            <w:vAlign w:val="center"/>
          </w:tcPr>
          <w:p w14:paraId="599B7183">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48口光纤配线架</w:t>
            </w:r>
          </w:p>
        </w:tc>
        <w:tc>
          <w:tcPr>
            <w:tcW w:w="0" w:type="auto"/>
            <w:shd w:val="clear" w:color="000000" w:fill="FFFFFF"/>
            <w:vAlign w:val="center"/>
          </w:tcPr>
          <w:p w14:paraId="3B5E8E46">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2.00 </w:t>
            </w:r>
          </w:p>
        </w:tc>
        <w:tc>
          <w:tcPr>
            <w:tcW w:w="461" w:type="dxa"/>
            <w:shd w:val="clear" w:color="000000" w:fill="FFFFFF"/>
            <w:vAlign w:val="center"/>
          </w:tcPr>
          <w:p w14:paraId="3584EB8C">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套</w:t>
            </w:r>
          </w:p>
        </w:tc>
        <w:tc>
          <w:tcPr>
            <w:tcW w:w="5584" w:type="dxa"/>
            <w:shd w:val="clear" w:color="auto" w:fill="auto"/>
            <w:vAlign w:val="center"/>
          </w:tcPr>
          <w:p w14:paraId="75864590">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48口机架式，满配耦合器和尾纤</w:t>
            </w:r>
          </w:p>
        </w:tc>
      </w:tr>
      <w:tr w14:paraId="452A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77FD6D9D">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3</w:t>
            </w:r>
          </w:p>
        </w:tc>
        <w:tc>
          <w:tcPr>
            <w:tcW w:w="0" w:type="auto"/>
            <w:shd w:val="clear" w:color="000000" w:fill="FFFFFF"/>
            <w:vAlign w:val="center"/>
          </w:tcPr>
          <w:p w14:paraId="506326E8">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光纤熔接</w:t>
            </w:r>
          </w:p>
        </w:tc>
        <w:tc>
          <w:tcPr>
            <w:tcW w:w="0" w:type="auto"/>
            <w:shd w:val="clear" w:color="000000" w:fill="FFFFFF"/>
            <w:vAlign w:val="center"/>
          </w:tcPr>
          <w:p w14:paraId="06D86A53">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96.00 </w:t>
            </w:r>
          </w:p>
        </w:tc>
        <w:tc>
          <w:tcPr>
            <w:tcW w:w="461" w:type="dxa"/>
            <w:shd w:val="clear" w:color="000000" w:fill="FFFFFF"/>
            <w:vAlign w:val="center"/>
          </w:tcPr>
          <w:p w14:paraId="3773B60A">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芯</w:t>
            </w:r>
          </w:p>
        </w:tc>
        <w:tc>
          <w:tcPr>
            <w:tcW w:w="5584" w:type="dxa"/>
            <w:shd w:val="clear" w:color="auto" w:fill="auto"/>
            <w:vAlign w:val="center"/>
          </w:tcPr>
          <w:p w14:paraId="4F450B57">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　</w:t>
            </w:r>
          </w:p>
        </w:tc>
      </w:tr>
      <w:tr w14:paraId="63DC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359A8BF3">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4</w:t>
            </w:r>
          </w:p>
        </w:tc>
        <w:tc>
          <w:tcPr>
            <w:tcW w:w="0" w:type="auto"/>
            <w:shd w:val="clear" w:color="000000" w:fill="FFFFFF"/>
            <w:vAlign w:val="center"/>
          </w:tcPr>
          <w:p w14:paraId="04F7C392">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LC-LC光纤跳线</w:t>
            </w:r>
          </w:p>
        </w:tc>
        <w:tc>
          <w:tcPr>
            <w:tcW w:w="0" w:type="auto"/>
            <w:shd w:val="clear" w:color="000000" w:fill="FFFFFF"/>
            <w:vAlign w:val="center"/>
          </w:tcPr>
          <w:p w14:paraId="301666CC">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10.00 </w:t>
            </w:r>
          </w:p>
        </w:tc>
        <w:tc>
          <w:tcPr>
            <w:tcW w:w="461" w:type="dxa"/>
            <w:shd w:val="clear" w:color="000000" w:fill="FFFFFF"/>
            <w:vAlign w:val="center"/>
          </w:tcPr>
          <w:p w14:paraId="667260C5">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条</w:t>
            </w:r>
          </w:p>
        </w:tc>
        <w:tc>
          <w:tcPr>
            <w:tcW w:w="5584" w:type="dxa"/>
            <w:shd w:val="clear" w:color="auto" w:fill="auto"/>
            <w:vAlign w:val="center"/>
          </w:tcPr>
          <w:p w14:paraId="48A0B867">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2LC-2LC</w:t>
            </w:r>
          </w:p>
        </w:tc>
      </w:tr>
      <w:tr w14:paraId="3411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1F9FF71B">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5</w:t>
            </w:r>
          </w:p>
        </w:tc>
        <w:tc>
          <w:tcPr>
            <w:tcW w:w="0" w:type="auto"/>
            <w:shd w:val="clear" w:color="000000" w:fill="FFFFFF"/>
            <w:vAlign w:val="center"/>
          </w:tcPr>
          <w:p w14:paraId="56D77E68">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PVC穿线管</w:t>
            </w:r>
          </w:p>
        </w:tc>
        <w:tc>
          <w:tcPr>
            <w:tcW w:w="0" w:type="auto"/>
            <w:shd w:val="clear" w:color="000000" w:fill="FFFFFF"/>
            <w:vAlign w:val="center"/>
          </w:tcPr>
          <w:p w14:paraId="24192D15">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600.00 </w:t>
            </w:r>
          </w:p>
        </w:tc>
        <w:tc>
          <w:tcPr>
            <w:tcW w:w="461" w:type="dxa"/>
            <w:shd w:val="clear" w:color="000000" w:fill="FFFFFF"/>
            <w:vAlign w:val="center"/>
          </w:tcPr>
          <w:p w14:paraId="74E3352C">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米</w:t>
            </w:r>
          </w:p>
        </w:tc>
        <w:tc>
          <w:tcPr>
            <w:tcW w:w="5584" w:type="dxa"/>
            <w:shd w:val="clear" w:color="auto" w:fill="auto"/>
            <w:vAlign w:val="center"/>
          </w:tcPr>
          <w:p w14:paraId="6AA0C8AA">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PVC32</w:t>
            </w:r>
          </w:p>
        </w:tc>
      </w:tr>
      <w:tr w14:paraId="7BF6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4DE1FBC2">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6</w:t>
            </w:r>
          </w:p>
        </w:tc>
        <w:tc>
          <w:tcPr>
            <w:tcW w:w="0" w:type="auto"/>
            <w:shd w:val="clear" w:color="auto" w:fill="auto"/>
            <w:vAlign w:val="center"/>
          </w:tcPr>
          <w:p w14:paraId="7184335D">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破路施工</w:t>
            </w:r>
          </w:p>
        </w:tc>
        <w:tc>
          <w:tcPr>
            <w:tcW w:w="0" w:type="auto"/>
            <w:shd w:val="clear" w:color="auto" w:fill="auto"/>
            <w:noWrap/>
            <w:vAlign w:val="center"/>
          </w:tcPr>
          <w:p w14:paraId="77B37A95">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100.00 </w:t>
            </w:r>
          </w:p>
        </w:tc>
        <w:tc>
          <w:tcPr>
            <w:tcW w:w="461" w:type="dxa"/>
            <w:shd w:val="clear" w:color="auto" w:fill="auto"/>
            <w:noWrap/>
            <w:vAlign w:val="center"/>
          </w:tcPr>
          <w:p w14:paraId="3B729373">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米</w:t>
            </w:r>
          </w:p>
        </w:tc>
        <w:tc>
          <w:tcPr>
            <w:tcW w:w="5584" w:type="dxa"/>
            <w:shd w:val="clear" w:color="auto" w:fill="auto"/>
            <w:vAlign w:val="center"/>
          </w:tcPr>
          <w:p w14:paraId="5CC38A09">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破路施工及路面恢复</w:t>
            </w:r>
          </w:p>
        </w:tc>
      </w:tr>
      <w:tr w14:paraId="7388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33F29C4F">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7</w:t>
            </w:r>
          </w:p>
        </w:tc>
        <w:tc>
          <w:tcPr>
            <w:tcW w:w="0" w:type="auto"/>
            <w:shd w:val="clear" w:color="auto" w:fill="auto"/>
            <w:vAlign w:val="center"/>
          </w:tcPr>
          <w:p w14:paraId="7D6358A3">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辅材</w:t>
            </w:r>
          </w:p>
        </w:tc>
        <w:tc>
          <w:tcPr>
            <w:tcW w:w="0" w:type="auto"/>
            <w:shd w:val="clear" w:color="auto" w:fill="auto"/>
            <w:noWrap/>
            <w:vAlign w:val="center"/>
          </w:tcPr>
          <w:p w14:paraId="674C7287">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1.00 </w:t>
            </w:r>
          </w:p>
        </w:tc>
        <w:tc>
          <w:tcPr>
            <w:tcW w:w="461" w:type="dxa"/>
            <w:shd w:val="clear" w:color="auto" w:fill="auto"/>
            <w:noWrap/>
            <w:vAlign w:val="center"/>
          </w:tcPr>
          <w:p w14:paraId="7AD2950F">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批</w:t>
            </w:r>
          </w:p>
        </w:tc>
        <w:tc>
          <w:tcPr>
            <w:tcW w:w="5584" w:type="dxa"/>
            <w:shd w:val="clear" w:color="auto" w:fill="auto"/>
            <w:vAlign w:val="center"/>
          </w:tcPr>
          <w:p w14:paraId="42CF761B">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b w:val="0"/>
                <w:i w:val="0"/>
                <w:caps w:val="0"/>
                <w:spacing w:val="0"/>
                <w:w w:val="100"/>
                <w:sz w:val="20"/>
                <w:szCs w:val="20"/>
              </w:rPr>
              <w:t>　</w:t>
            </w:r>
          </w:p>
        </w:tc>
      </w:tr>
      <w:tr w14:paraId="3655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shd w:val="clear" w:color="auto" w:fill="auto"/>
            <w:noWrap/>
            <w:vAlign w:val="center"/>
          </w:tcPr>
          <w:p w14:paraId="1B038C15">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8</w:t>
            </w:r>
          </w:p>
        </w:tc>
        <w:tc>
          <w:tcPr>
            <w:tcW w:w="0" w:type="auto"/>
            <w:shd w:val="clear" w:color="auto" w:fill="auto"/>
            <w:vAlign w:val="center"/>
          </w:tcPr>
          <w:p w14:paraId="7221CAD5">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lang w:eastAsia="zh-CN"/>
              </w:rPr>
            </w:pPr>
            <w:r>
              <w:rPr>
                <w:rFonts w:hint="eastAsia" w:ascii="宋体" w:hAnsi="宋体" w:eastAsia="宋体" w:cs="Arial"/>
                <w:b w:val="0"/>
                <w:i w:val="0"/>
                <w:caps w:val="0"/>
                <w:spacing w:val="0"/>
                <w:w w:val="100"/>
                <w:kern w:val="0"/>
                <w:sz w:val="20"/>
                <w:szCs w:val="20"/>
              </w:rPr>
              <w:t>安装调试费</w:t>
            </w:r>
            <w:r>
              <w:rPr>
                <w:rFonts w:hint="eastAsia" w:ascii="宋体" w:hAnsi="宋体" w:eastAsia="宋体" w:cs="Arial"/>
                <w:b w:val="0"/>
                <w:i w:val="0"/>
                <w:caps w:val="0"/>
                <w:spacing w:val="0"/>
                <w:w w:val="100"/>
                <w:kern w:val="0"/>
                <w:sz w:val="20"/>
                <w:szCs w:val="20"/>
                <w:lang w:eastAsia="zh-CN"/>
              </w:rPr>
              <w:t>含税</w:t>
            </w:r>
          </w:p>
        </w:tc>
        <w:tc>
          <w:tcPr>
            <w:tcW w:w="0" w:type="auto"/>
            <w:shd w:val="clear" w:color="auto" w:fill="auto"/>
            <w:noWrap/>
            <w:vAlign w:val="center"/>
          </w:tcPr>
          <w:p w14:paraId="156F38FB">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xml:space="preserve">1.00 </w:t>
            </w:r>
          </w:p>
        </w:tc>
        <w:tc>
          <w:tcPr>
            <w:tcW w:w="461" w:type="dxa"/>
            <w:shd w:val="clear" w:color="auto" w:fill="auto"/>
            <w:noWrap/>
            <w:vAlign w:val="center"/>
          </w:tcPr>
          <w:p w14:paraId="66E9A25D">
            <w:pPr>
              <w:widowControl/>
              <w:snapToGrid/>
              <w:spacing w:before="0" w:beforeAutospacing="0" w:after="0" w:afterAutospacing="0" w:line="360" w:lineRule="auto"/>
              <w:jc w:val="center"/>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项</w:t>
            </w:r>
          </w:p>
        </w:tc>
        <w:tc>
          <w:tcPr>
            <w:tcW w:w="5584" w:type="dxa"/>
            <w:shd w:val="clear" w:color="auto" w:fill="auto"/>
            <w:vAlign w:val="center"/>
          </w:tcPr>
          <w:p w14:paraId="18CAFFC1">
            <w:pPr>
              <w:widowControl/>
              <w:snapToGrid/>
              <w:spacing w:before="0" w:beforeAutospacing="0" w:after="0" w:afterAutospacing="0" w:line="360" w:lineRule="auto"/>
              <w:jc w:val="left"/>
              <w:textAlignment w:val="baseline"/>
              <w:rPr>
                <w:rFonts w:hint="eastAsia" w:ascii="宋体" w:hAnsi="宋体" w:eastAsia="宋体" w:cs="Arial"/>
                <w:b w:val="0"/>
                <w:i w:val="0"/>
                <w:caps w:val="0"/>
                <w:spacing w:val="0"/>
                <w:w w:val="100"/>
                <w:kern w:val="0"/>
                <w:sz w:val="20"/>
                <w:szCs w:val="20"/>
              </w:rPr>
            </w:pPr>
            <w:r>
              <w:rPr>
                <w:rFonts w:hint="eastAsia" w:ascii="宋体" w:hAnsi="宋体" w:eastAsia="宋体" w:cs="Arial"/>
                <w:b w:val="0"/>
                <w:i w:val="0"/>
                <w:caps w:val="0"/>
                <w:spacing w:val="0"/>
                <w:w w:val="100"/>
                <w:kern w:val="0"/>
                <w:sz w:val="20"/>
                <w:szCs w:val="20"/>
              </w:rPr>
              <w:t>　</w:t>
            </w:r>
          </w:p>
        </w:tc>
      </w:tr>
    </w:tbl>
    <w:p w14:paraId="17A94F88">
      <w:pPr>
        <w:snapToGrid/>
        <w:spacing w:before="0" w:beforeAutospacing="0" w:after="0" w:afterAutospacing="0" w:line="360" w:lineRule="auto"/>
        <w:jc w:val="both"/>
        <w:textAlignment w:val="baseline"/>
        <w:rPr>
          <w:rFonts w:hint="eastAsia" w:ascii="宋体" w:hAnsi="宋体" w:eastAsia="宋体"/>
          <w:b/>
          <w:bCs/>
          <w:i w:val="0"/>
          <w:caps w:val="0"/>
          <w:spacing w:val="0"/>
          <w:w w:val="100"/>
          <w:sz w:val="24"/>
          <w:szCs w:val="24"/>
        </w:rPr>
      </w:pPr>
      <w:r>
        <w:rPr>
          <w:rFonts w:hint="eastAsia" w:ascii="宋体" w:hAnsi="宋体" w:eastAsia="宋体"/>
          <w:b/>
          <w:bCs/>
          <w:i w:val="0"/>
          <w:caps w:val="0"/>
          <w:spacing w:val="0"/>
          <w:w w:val="100"/>
          <w:sz w:val="24"/>
          <w:szCs w:val="24"/>
        </w:rPr>
        <w:t>四、关于原厂全保、售后、资质等要求</w:t>
      </w:r>
    </w:p>
    <w:p w14:paraId="465D82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1.为保障本项目的建设及维保响应及时性的服务水平，供应商最好是注册在厦门或在厦门设置有分公司，需提供营业执照复印件</w:t>
      </w:r>
      <w:r>
        <w:rPr>
          <w:rFonts w:hint="eastAsia" w:ascii="宋体" w:hAnsi="宋体" w:eastAsia="宋体"/>
          <w:b w:val="0"/>
          <w:i w:val="0"/>
          <w:caps w:val="0"/>
          <w:spacing w:val="0"/>
          <w:w w:val="100"/>
          <w:sz w:val="24"/>
          <w:szCs w:val="24"/>
          <w:lang w:eastAsia="zh-CN"/>
        </w:rPr>
        <w:t>，并</w:t>
      </w:r>
      <w:r>
        <w:rPr>
          <w:rFonts w:hint="eastAsia" w:ascii="宋体" w:hAnsi="宋体" w:eastAsia="宋体"/>
          <w:b w:val="0"/>
          <w:i w:val="0"/>
          <w:caps w:val="0"/>
          <w:spacing w:val="0"/>
          <w:w w:val="100"/>
          <w:sz w:val="24"/>
          <w:szCs w:val="24"/>
        </w:rPr>
        <w:t>提供</w:t>
      </w:r>
      <w:r>
        <w:rPr>
          <w:rFonts w:hint="eastAsia" w:ascii="宋体" w:hAnsi="宋体" w:eastAsia="宋体"/>
          <w:b w:val="0"/>
          <w:i w:val="0"/>
          <w:caps w:val="0"/>
          <w:spacing w:val="0"/>
          <w:w w:val="100"/>
          <w:sz w:val="24"/>
          <w:szCs w:val="24"/>
          <w:lang w:eastAsia="zh-CN"/>
        </w:rPr>
        <w:t>供应商在</w:t>
      </w:r>
      <w:r>
        <w:rPr>
          <w:rFonts w:hint="eastAsia" w:ascii="宋体" w:hAnsi="宋体" w:eastAsia="宋体"/>
          <w:b w:val="0"/>
          <w:i w:val="0"/>
          <w:caps w:val="0"/>
          <w:spacing w:val="0"/>
          <w:w w:val="100"/>
          <w:sz w:val="24"/>
          <w:szCs w:val="24"/>
        </w:rPr>
        <w:t>近3年内的厦门医疗行业</w:t>
      </w:r>
      <w:r>
        <w:rPr>
          <w:rFonts w:hint="eastAsia" w:ascii="宋体" w:hAnsi="宋体" w:eastAsia="宋体"/>
          <w:b w:val="0"/>
          <w:i w:val="0"/>
          <w:caps w:val="0"/>
          <w:spacing w:val="0"/>
          <w:w w:val="100"/>
          <w:sz w:val="24"/>
          <w:szCs w:val="24"/>
          <w:lang w:eastAsia="zh-CN"/>
        </w:rPr>
        <w:t>的信息化或智能化项目业绩。</w:t>
      </w:r>
    </w:p>
    <w:p w14:paraId="5C4BE4D0">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lang w:val="en-US" w:eastAsia="zh-CN"/>
        </w:rPr>
        <w:t>2</w:t>
      </w:r>
      <w:r>
        <w:rPr>
          <w:rFonts w:hint="eastAsia" w:ascii="宋体" w:hAnsi="宋体" w:eastAsia="宋体"/>
          <w:b w:val="0"/>
          <w:i w:val="0"/>
          <w:caps w:val="0"/>
          <w:spacing w:val="0"/>
          <w:w w:val="100"/>
          <w:sz w:val="24"/>
          <w:szCs w:val="24"/>
        </w:rPr>
        <w:t>.本次报价的所有设备</w:t>
      </w:r>
      <w:r>
        <w:rPr>
          <w:rFonts w:hint="eastAsia" w:ascii="宋体" w:hAnsi="宋体" w:eastAsia="宋体"/>
          <w:b w:val="0"/>
          <w:i w:val="0"/>
          <w:caps w:val="0"/>
          <w:spacing w:val="0"/>
          <w:w w:val="100"/>
          <w:sz w:val="24"/>
          <w:szCs w:val="24"/>
          <w:lang w:eastAsia="zh-CN"/>
        </w:rPr>
        <w:t>均要求</w:t>
      </w:r>
      <w:r>
        <w:rPr>
          <w:rFonts w:hint="eastAsia" w:ascii="宋体" w:hAnsi="宋体" w:eastAsia="宋体"/>
          <w:b w:val="0"/>
          <w:i w:val="0"/>
          <w:caps w:val="0"/>
          <w:spacing w:val="0"/>
          <w:w w:val="100"/>
          <w:sz w:val="24"/>
          <w:szCs w:val="24"/>
          <w:lang w:val="en-US" w:eastAsia="zh-CN"/>
        </w:rPr>
        <w:t>3年原厂全保</w:t>
      </w:r>
      <w:r>
        <w:rPr>
          <w:rFonts w:hint="eastAsia" w:ascii="宋体" w:hAnsi="宋体" w:eastAsia="宋体"/>
          <w:b w:val="0"/>
          <w:i w:val="0"/>
          <w:caps w:val="0"/>
          <w:spacing w:val="0"/>
          <w:w w:val="100"/>
          <w:sz w:val="24"/>
          <w:szCs w:val="24"/>
        </w:rPr>
        <w:t xml:space="preserve">，自验收合格之日起计算，质保期间成交供应商应提供一切维修服务和更换零配件（不再另行收取费用）。在质保期内，成交供应商提供7*24小时服务。对于产品在使用过程中出现的问题，在1小时内响应。如遇与所供产品有关的问题无法远程解决的，在事件确定后2小时内赶到现场提供服务。2小时内未解决的成交供应商应提供详细的应急解决方案。因成交供应商工作延误，造成采购人损失的，成交供应商应负赔偿责任。 </w:t>
      </w:r>
    </w:p>
    <w:p w14:paraId="6695D91A">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lang w:val="en-US" w:eastAsia="zh-CN"/>
        </w:rPr>
        <w:t>3</w:t>
      </w:r>
      <w:r>
        <w:rPr>
          <w:rFonts w:hint="eastAsia" w:ascii="宋体" w:hAnsi="宋体" w:eastAsia="宋体"/>
          <w:b w:val="0"/>
          <w:i w:val="0"/>
          <w:caps w:val="0"/>
          <w:spacing w:val="0"/>
          <w:w w:val="100"/>
          <w:sz w:val="24"/>
          <w:szCs w:val="24"/>
        </w:rPr>
        <w:t>.供应商公司资质需至少具备以下</w:t>
      </w:r>
      <w:r>
        <w:rPr>
          <w:rFonts w:ascii="宋体" w:hAnsi="宋体" w:eastAsia="宋体"/>
          <w:b w:val="0"/>
          <w:i w:val="0"/>
          <w:caps w:val="0"/>
          <w:spacing w:val="0"/>
          <w:w w:val="100"/>
          <w:sz w:val="24"/>
          <w:szCs w:val="24"/>
        </w:rPr>
        <w:t>10</w:t>
      </w:r>
      <w:r>
        <w:rPr>
          <w:rFonts w:hint="eastAsia" w:ascii="宋体" w:hAnsi="宋体" w:eastAsia="宋体"/>
          <w:b w:val="0"/>
          <w:i w:val="0"/>
          <w:caps w:val="0"/>
          <w:spacing w:val="0"/>
          <w:w w:val="100"/>
          <w:sz w:val="24"/>
          <w:szCs w:val="24"/>
        </w:rPr>
        <w:t>个证书中的5个：</w:t>
      </w:r>
    </w:p>
    <w:p w14:paraId="1DB6969C">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①质量管理体系认证证书</w:t>
      </w:r>
    </w:p>
    <w:p w14:paraId="00BCA230">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②环境管理体系认证证书</w:t>
      </w:r>
    </w:p>
    <w:p w14:paraId="5FA6B1CD">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③职业健康安全管理体系认证证书</w:t>
      </w:r>
    </w:p>
    <w:p w14:paraId="18FFDF51">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④信息安全管理体系认证证书</w:t>
      </w:r>
    </w:p>
    <w:p w14:paraId="2B26DD33">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⑤信息技术服务管理体系认证证书</w:t>
      </w:r>
    </w:p>
    <w:p w14:paraId="0D00BEE7">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⑥电子与智能化工程专业承包资质证书</w:t>
      </w:r>
    </w:p>
    <w:p w14:paraId="70A8616E">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⑦信息技术服务标准认证ITSS三级及以上资质证书</w:t>
      </w:r>
    </w:p>
    <w:p w14:paraId="06AEBE0A">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⑧信息系统建设和服务能力CS2及以上等级证书</w:t>
      </w:r>
    </w:p>
    <w:p w14:paraId="78BD2985">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⑨软件成熟度C</w:t>
      </w:r>
      <w:r>
        <w:rPr>
          <w:rFonts w:ascii="宋体" w:hAnsi="宋体" w:eastAsia="宋体"/>
          <w:b w:val="0"/>
          <w:i w:val="0"/>
          <w:caps w:val="0"/>
          <w:spacing w:val="0"/>
          <w:w w:val="100"/>
          <w:sz w:val="24"/>
          <w:szCs w:val="24"/>
        </w:rPr>
        <w:t>MMI3</w:t>
      </w:r>
      <w:r>
        <w:rPr>
          <w:rFonts w:hint="eastAsia" w:ascii="宋体" w:hAnsi="宋体" w:eastAsia="宋体"/>
          <w:b w:val="0"/>
          <w:i w:val="0"/>
          <w:caps w:val="0"/>
          <w:spacing w:val="0"/>
          <w:w w:val="100"/>
          <w:sz w:val="24"/>
          <w:szCs w:val="24"/>
        </w:rPr>
        <w:t>级证书</w:t>
      </w:r>
    </w:p>
    <w:p w14:paraId="0BEED3BF">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⑩施工劳务资质证书</w:t>
      </w:r>
    </w:p>
    <w:p w14:paraId="643E06C0">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lang w:val="en-US" w:eastAsia="zh-CN"/>
        </w:rPr>
        <w:t>4</w:t>
      </w:r>
      <w:r>
        <w:rPr>
          <w:rFonts w:hint="eastAsia" w:ascii="宋体" w:hAnsi="宋体" w:eastAsia="宋体"/>
          <w:b w:val="0"/>
          <w:i w:val="0"/>
          <w:caps w:val="0"/>
          <w:spacing w:val="0"/>
          <w:w w:val="100"/>
          <w:sz w:val="24"/>
          <w:szCs w:val="24"/>
        </w:rPr>
        <w:t>.</w:t>
      </w:r>
      <w:bookmarkStart w:id="0" w:name="_GoBack"/>
      <w:bookmarkEnd w:id="0"/>
      <w:r>
        <w:rPr>
          <w:rFonts w:hint="eastAsia" w:ascii="宋体" w:hAnsi="宋体" w:eastAsia="宋体"/>
          <w:b w:val="0"/>
          <w:i w:val="0"/>
          <w:caps w:val="0"/>
          <w:spacing w:val="0"/>
          <w:w w:val="100"/>
          <w:sz w:val="24"/>
          <w:szCs w:val="24"/>
        </w:rPr>
        <w:t>供应商员工资质需至少具备以下4类证书中的2个：</w:t>
      </w:r>
    </w:p>
    <w:p w14:paraId="3A95CEB7">
      <w:pPr>
        <w:snapToGrid/>
        <w:spacing w:before="0" w:beforeAutospacing="0" w:after="0" w:afterAutospacing="0" w:line="360" w:lineRule="auto"/>
        <w:jc w:val="both"/>
        <w:textAlignment w:val="baseline"/>
        <w:rPr>
          <w:rFonts w:hint="eastAsia"/>
          <w:b w:val="0"/>
          <w:i w:val="0"/>
          <w:caps w:val="0"/>
          <w:spacing w:val="0"/>
          <w:w w:val="100"/>
          <w:sz w:val="24"/>
          <w:szCs w:val="24"/>
        </w:rPr>
      </w:pPr>
      <w:r>
        <w:rPr>
          <w:rFonts w:hint="eastAsia" w:ascii="宋体" w:hAnsi="宋体" w:eastAsia="宋体"/>
          <w:b w:val="0"/>
          <w:i w:val="0"/>
          <w:caps w:val="0"/>
          <w:spacing w:val="0"/>
          <w:w w:val="100"/>
          <w:sz w:val="24"/>
          <w:szCs w:val="24"/>
        </w:rPr>
        <w:t>①项目经理：高级工程师（电子专业）证书或二级注册建造师证书</w:t>
      </w:r>
    </w:p>
    <w:p w14:paraId="20280997">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②技术负责人：中级工程师证书或网络工程师证书</w:t>
      </w:r>
    </w:p>
    <w:p w14:paraId="3B04A7CB">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③实施工程师：I</w:t>
      </w:r>
      <w:r>
        <w:rPr>
          <w:rFonts w:ascii="宋体" w:hAnsi="宋体" w:eastAsia="宋体"/>
          <w:b w:val="0"/>
          <w:i w:val="0"/>
          <w:caps w:val="0"/>
          <w:spacing w:val="0"/>
          <w:w w:val="100"/>
          <w:sz w:val="24"/>
          <w:szCs w:val="24"/>
        </w:rPr>
        <w:t>T</w:t>
      </w:r>
      <w:r>
        <w:rPr>
          <w:rFonts w:hint="eastAsia" w:ascii="宋体" w:hAnsi="宋体" w:eastAsia="宋体"/>
          <w:b w:val="0"/>
          <w:i w:val="0"/>
          <w:caps w:val="0"/>
          <w:spacing w:val="0"/>
          <w:w w:val="100"/>
          <w:sz w:val="24"/>
          <w:szCs w:val="24"/>
        </w:rPr>
        <w:t>服务项目经理或ITSS服务工程师</w:t>
      </w:r>
    </w:p>
    <w:p w14:paraId="3CA5EA97">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4"/>
          <w:szCs w:val="24"/>
        </w:rPr>
        <w:t>④维护人员：低压电工或维护电工证书</w:t>
      </w:r>
    </w:p>
    <w:p w14:paraId="6EA61964">
      <w:pPr>
        <w:snapToGrid/>
        <w:spacing w:before="0" w:beforeAutospacing="0" w:after="0" w:afterAutospacing="0" w:line="360" w:lineRule="auto"/>
        <w:jc w:val="both"/>
        <w:textAlignment w:val="baseline"/>
        <w:rPr>
          <w:rFonts w:hint="eastAsia" w:ascii="宋体" w:hAnsi="宋体" w:eastAsia="宋体"/>
          <w:b w:val="0"/>
          <w:i w:val="0"/>
          <w:caps w:val="0"/>
          <w:spacing w:val="0"/>
          <w:w w:val="1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7FC38"/>
    <w:multiLevelType w:val="singleLevel"/>
    <w:tmpl w:val="57C7FC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ZjliMzU5MDlkZjYzNTgyM2M0MTM5ZjcyZmRhMzgifQ=="/>
  </w:docVars>
  <w:rsids>
    <w:rsidRoot w:val="00605BC3"/>
    <w:rsid w:val="00026126"/>
    <w:rsid w:val="00036BD4"/>
    <w:rsid w:val="00072B60"/>
    <w:rsid w:val="000D6A02"/>
    <w:rsid w:val="001C701E"/>
    <w:rsid w:val="00206379"/>
    <w:rsid w:val="00280EF1"/>
    <w:rsid w:val="003073BC"/>
    <w:rsid w:val="003904CA"/>
    <w:rsid w:val="003C18AC"/>
    <w:rsid w:val="003D2BD6"/>
    <w:rsid w:val="00430EED"/>
    <w:rsid w:val="00531472"/>
    <w:rsid w:val="00605BC3"/>
    <w:rsid w:val="006C03E9"/>
    <w:rsid w:val="007124CD"/>
    <w:rsid w:val="007208BB"/>
    <w:rsid w:val="00750BE2"/>
    <w:rsid w:val="007E6191"/>
    <w:rsid w:val="00854EC3"/>
    <w:rsid w:val="00877B77"/>
    <w:rsid w:val="008F60FA"/>
    <w:rsid w:val="00A062FC"/>
    <w:rsid w:val="00A41D6D"/>
    <w:rsid w:val="00AE7B78"/>
    <w:rsid w:val="00C4260E"/>
    <w:rsid w:val="00C87F3E"/>
    <w:rsid w:val="00CE4F97"/>
    <w:rsid w:val="00CF52DC"/>
    <w:rsid w:val="00D10787"/>
    <w:rsid w:val="00D414AC"/>
    <w:rsid w:val="00D76B92"/>
    <w:rsid w:val="00DB5E39"/>
    <w:rsid w:val="00DC0422"/>
    <w:rsid w:val="00DD42DE"/>
    <w:rsid w:val="00DD4AAF"/>
    <w:rsid w:val="00EF27E5"/>
    <w:rsid w:val="00F27BC2"/>
    <w:rsid w:val="00F61455"/>
    <w:rsid w:val="00FB5BA7"/>
    <w:rsid w:val="05D10232"/>
    <w:rsid w:val="0AC82FE4"/>
    <w:rsid w:val="140B093D"/>
    <w:rsid w:val="2C7E584F"/>
    <w:rsid w:val="36AD3B0D"/>
    <w:rsid w:val="38101B27"/>
    <w:rsid w:val="398104D0"/>
    <w:rsid w:val="42A03736"/>
    <w:rsid w:val="5CBC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2289</Words>
  <Characters>2916</Characters>
  <Lines>24</Lines>
  <Paragraphs>6</Paragraphs>
  <TotalTime>22</TotalTime>
  <ScaleCrop>false</ScaleCrop>
  <LinksUpToDate>false</LinksUpToDate>
  <CharactersWithSpaces>2960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2024-08-20T08:50:00Z</dcterms:created>
  <dc:creator>huangwp</dc:creator>
  <cp:lastModifiedBy>Dan</cp:lastModifiedBy>
  <dcterms:modified xsi:type="dcterms:W3CDTF">2024-08-30T01:34:13Z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0917A11858604F779321C9FBB71330F7_13</vt:lpwstr>
  </property>
</Properties>
</file>