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9D" w:rsidRDefault="00D902FD">
      <w:pPr>
        <w:jc w:val="center"/>
      </w:pPr>
      <w:bookmarkStart w:id="0" w:name="_GoBack"/>
      <w:bookmarkEnd w:id="0"/>
      <w:r>
        <w:rPr>
          <w:rFonts w:hint="eastAsia"/>
          <w:b/>
          <w:bCs/>
          <w:sz w:val="44"/>
          <w:szCs w:val="44"/>
        </w:rPr>
        <w:t>厦门</w:t>
      </w:r>
      <w:r>
        <w:rPr>
          <w:rFonts w:hint="eastAsia"/>
          <w:b/>
          <w:bCs/>
          <w:sz w:val="44"/>
          <w:szCs w:val="44"/>
        </w:rPr>
        <w:t>市海</w:t>
      </w:r>
      <w:proofErr w:type="gramStart"/>
      <w:r>
        <w:rPr>
          <w:rFonts w:hint="eastAsia"/>
          <w:b/>
          <w:bCs/>
          <w:sz w:val="44"/>
          <w:szCs w:val="44"/>
        </w:rPr>
        <w:t>沧</w:t>
      </w:r>
      <w:proofErr w:type="gramEnd"/>
      <w:r>
        <w:rPr>
          <w:rFonts w:hint="eastAsia"/>
          <w:b/>
          <w:bCs/>
          <w:sz w:val="44"/>
          <w:szCs w:val="44"/>
        </w:rPr>
        <w:t>医院电子票据应用</w:t>
      </w:r>
      <w:r>
        <w:rPr>
          <w:rFonts w:hint="eastAsia"/>
          <w:b/>
          <w:bCs/>
          <w:sz w:val="44"/>
          <w:szCs w:val="44"/>
        </w:rPr>
        <w:t>采购要求</w:t>
      </w:r>
    </w:p>
    <w:p w:rsidR="0049529D" w:rsidRDefault="00D902FD">
      <w:pPr>
        <w:pStyle w:val="10"/>
      </w:pPr>
      <w:r>
        <w:t>技术参数要求</w:t>
      </w:r>
    </w:p>
    <w:p w:rsidR="0049529D" w:rsidRDefault="00D902FD">
      <w:pPr>
        <w:pStyle w:val="2"/>
      </w:pPr>
      <w:r>
        <w:t>项目背景</w:t>
      </w:r>
    </w:p>
    <w:p w:rsidR="0049529D" w:rsidRDefault="00D902FD">
      <w:pPr>
        <w:pStyle w:val="af2"/>
        <w:ind w:firstLine="480"/>
        <w:rPr>
          <w:rFonts w:cs="宋体"/>
          <w:kern w:val="0"/>
        </w:rPr>
      </w:pPr>
      <w:r>
        <w:rPr>
          <w:rFonts w:cs="宋体" w:hint="eastAsia"/>
          <w:kern w:val="0"/>
        </w:rPr>
        <w:t>随着卫生事业改革的不断深入，医疗管理水平的不断提高，完善医院的收费管理系统就变得十分必要，</w:t>
      </w:r>
      <w:r>
        <w:rPr>
          <w:rFonts w:cs="宋体" w:hint="eastAsia"/>
          <w:kern w:val="0"/>
        </w:rPr>
        <w:t>根据国家财政部联合国家卫生健康委员会、国家医疗保障局印发的《关于全面推行医疗收费电子票据管理改革的通知》（财综</w:t>
      </w:r>
      <w:r>
        <w:rPr>
          <w:rFonts w:cs="宋体" w:hint="eastAsia"/>
          <w:kern w:val="0"/>
        </w:rPr>
        <w:t>{2019}29</w:t>
      </w:r>
      <w:r>
        <w:rPr>
          <w:rFonts w:cs="宋体" w:hint="eastAsia"/>
          <w:kern w:val="0"/>
        </w:rPr>
        <w:t>号</w:t>
      </w:r>
      <w:r>
        <w:rPr>
          <w:rFonts w:cs="宋体" w:hint="eastAsia"/>
          <w:kern w:val="0"/>
        </w:rPr>
        <w:t>）要求，</w:t>
      </w:r>
      <w:r>
        <w:rPr>
          <w:rFonts w:cs="宋体" w:hint="eastAsia"/>
          <w:kern w:val="0"/>
        </w:rPr>
        <w:t>及时发现医院收费票据管理中存在的问题，完善医院内部控制制度，加强医院收费票据的</w:t>
      </w:r>
      <w:r>
        <w:rPr>
          <w:rFonts w:cs="宋体" w:hint="eastAsia"/>
          <w:kern w:val="0"/>
        </w:rPr>
        <w:t>科学</w:t>
      </w:r>
      <w:r>
        <w:rPr>
          <w:rFonts w:cs="宋体" w:hint="eastAsia"/>
          <w:kern w:val="0"/>
        </w:rPr>
        <w:t>管理，</w:t>
      </w:r>
      <w:r>
        <w:rPr>
          <w:rFonts w:cs="宋体" w:hint="eastAsia"/>
          <w:kern w:val="0"/>
        </w:rPr>
        <w:t>实现统一样式的医疗收费票据的推广使用</w:t>
      </w:r>
      <w:r>
        <w:rPr>
          <w:rFonts w:cs="宋体" w:hint="eastAsia"/>
          <w:kern w:val="0"/>
        </w:rPr>
        <w:t>。</w:t>
      </w:r>
    </w:p>
    <w:p w:rsidR="0049529D" w:rsidRDefault="00D902FD">
      <w:pPr>
        <w:pStyle w:val="af2"/>
        <w:ind w:firstLine="482"/>
        <w:rPr>
          <w:rFonts w:cs="宋体"/>
          <w:b/>
          <w:bCs/>
          <w:kern w:val="0"/>
        </w:rPr>
      </w:pPr>
      <w:r>
        <w:rPr>
          <w:rFonts w:cs="宋体" w:hint="eastAsia"/>
          <w:b/>
          <w:bCs/>
          <w:kern w:val="0"/>
        </w:rPr>
        <w:t>本次项目分为两个合同包，合同包一为电子票据前置服务系统，包含院内纸质票据管理、电子票据对接、电子票据使用情况查询及电子票据证书、单位信息等管理；合同包二为</w:t>
      </w:r>
      <w:r>
        <w:rPr>
          <w:rFonts w:cs="宋体" w:hint="eastAsia"/>
          <w:b/>
          <w:bCs/>
          <w:kern w:val="0"/>
        </w:rPr>
        <w:t>HIS</w:t>
      </w:r>
      <w:r>
        <w:rPr>
          <w:rFonts w:cs="宋体" w:hint="eastAsia"/>
          <w:b/>
          <w:bCs/>
          <w:kern w:val="0"/>
        </w:rPr>
        <w:t>系统电子票据集成改造，根据院内电子票据业务场景进行功能改造，实现电子票据应用。</w:t>
      </w:r>
    </w:p>
    <w:p w:rsidR="0049529D" w:rsidRDefault="00D902FD">
      <w:pPr>
        <w:pStyle w:val="2"/>
      </w:pPr>
      <w:r>
        <w:t>招标一览表</w:t>
      </w:r>
    </w:p>
    <w:p w:rsidR="0049529D" w:rsidRDefault="00D902FD">
      <w:pPr>
        <w:pStyle w:val="3"/>
      </w:pPr>
      <w:r>
        <w:rPr>
          <w:rFonts w:hint="eastAsia"/>
        </w:rPr>
        <w:t>合同包一</w:t>
      </w:r>
    </w:p>
    <w:tbl>
      <w:tblPr>
        <w:tblStyle w:val="ad"/>
        <w:tblW w:w="8217" w:type="dxa"/>
        <w:tblLayout w:type="fixed"/>
        <w:tblLook w:val="04A0" w:firstRow="1" w:lastRow="0" w:firstColumn="1" w:lastColumn="0" w:noHBand="0" w:noVBand="1"/>
      </w:tblPr>
      <w:tblGrid>
        <w:gridCol w:w="1555"/>
        <w:gridCol w:w="850"/>
        <w:gridCol w:w="2410"/>
        <w:gridCol w:w="3402"/>
      </w:tblGrid>
      <w:tr w:rsidR="0049529D" w:rsidTr="00D902FD">
        <w:trPr>
          <w:trHeight w:val="422"/>
          <w:tblHeader/>
        </w:trPr>
        <w:tc>
          <w:tcPr>
            <w:tcW w:w="1555" w:type="dxa"/>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模块分类</w:t>
            </w:r>
            <w:proofErr w:type="spellEnd"/>
          </w:p>
        </w:tc>
        <w:tc>
          <w:tcPr>
            <w:tcW w:w="850" w:type="dxa"/>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序号</w:t>
            </w:r>
            <w:proofErr w:type="spellEnd"/>
          </w:p>
        </w:tc>
        <w:tc>
          <w:tcPr>
            <w:tcW w:w="5812" w:type="dxa"/>
            <w:gridSpan w:val="2"/>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模块名称</w:t>
            </w:r>
            <w:proofErr w:type="spellEnd"/>
          </w:p>
        </w:tc>
      </w:tr>
      <w:tr w:rsidR="0049529D">
        <w:trPr>
          <w:trHeight w:val="285"/>
        </w:trPr>
        <w:tc>
          <w:tcPr>
            <w:tcW w:w="1555" w:type="dxa"/>
            <w:vMerge w:val="restart"/>
            <w:vAlign w:val="center"/>
          </w:tcPr>
          <w:p w:rsidR="0049529D" w:rsidRDefault="00D902FD">
            <w:pPr>
              <w:ind w:firstLineChars="10" w:firstLine="22"/>
              <w:jc w:val="center"/>
              <w:rPr>
                <w:rFonts w:ascii="宋体" w:eastAsia="Times New Roman" w:hAnsi="宋体" w:cs="宋体"/>
                <w:b/>
                <w:bCs/>
                <w:color w:val="000000"/>
                <w:kern w:val="0"/>
                <w:sz w:val="22"/>
              </w:rPr>
            </w:pPr>
            <w:r>
              <w:rPr>
                <w:rFonts w:ascii="宋体" w:eastAsia="宋体" w:hAnsi="宋体" w:cs="宋体" w:hint="eastAsia"/>
                <w:b/>
                <w:bCs/>
                <w:color w:val="000000"/>
                <w:kern w:val="0"/>
                <w:sz w:val="22"/>
              </w:rPr>
              <w:t>电子票据前置服务系统</w:t>
            </w: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val="restart"/>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color w:val="000000"/>
                <w:kern w:val="0"/>
                <w:sz w:val="22"/>
              </w:rPr>
              <w:t>纸质票据管理</w:t>
            </w:r>
          </w:p>
        </w:tc>
        <w:tc>
          <w:tcPr>
            <w:tcW w:w="3402" w:type="dxa"/>
          </w:tcPr>
          <w:p w:rsidR="0049529D" w:rsidRDefault="00D902FD">
            <w:pPr>
              <w:widowControl/>
              <w:jc w:val="left"/>
              <w:rPr>
                <w:rFonts w:ascii="宋体" w:eastAsia="宋体" w:hAnsi="宋体" w:cs="宋体"/>
                <w:color w:val="000000"/>
                <w:kern w:val="0"/>
                <w:sz w:val="22"/>
              </w:rPr>
            </w:pPr>
            <w:proofErr w:type="spellStart"/>
            <w:r>
              <w:rPr>
                <w:rFonts w:eastAsia="Times New Roman" w:hint="eastAsia"/>
              </w:rPr>
              <w:t>纸质票据入库</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宋体" w:hAnsi="宋体" w:cs="宋体"/>
                <w:color w:val="000000"/>
                <w:kern w:val="0"/>
                <w:sz w:val="22"/>
              </w:rPr>
            </w:pPr>
            <w:proofErr w:type="spellStart"/>
            <w:r>
              <w:rPr>
                <w:rFonts w:eastAsia="Times New Roman" w:hint="eastAsia"/>
              </w:rPr>
              <w:t>纸质票据分发</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宋体" w:hAnsi="宋体" w:cs="宋体"/>
                <w:color w:val="000000"/>
                <w:kern w:val="0"/>
                <w:sz w:val="22"/>
              </w:rPr>
            </w:pPr>
            <w:proofErr w:type="spellStart"/>
            <w:r>
              <w:rPr>
                <w:rFonts w:eastAsia="Times New Roman" w:hint="eastAsia"/>
              </w:rPr>
              <w:t>纸质票据作废</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val="restart"/>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color w:val="000000"/>
                <w:kern w:val="0"/>
                <w:sz w:val="22"/>
              </w:rPr>
              <w:t>电子票据功能</w:t>
            </w:r>
          </w:p>
        </w:tc>
        <w:tc>
          <w:tcPr>
            <w:tcW w:w="3402" w:type="dxa"/>
          </w:tcPr>
          <w:p w:rsidR="0049529D" w:rsidRDefault="00D902FD">
            <w:pPr>
              <w:widowControl/>
              <w:jc w:val="left"/>
              <w:rPr>
                <w:rFonts w:ascii="宋体" w:eastAsia="宋体" w:hAnsi="宋体" w:cs="宋体"/>
                <w:color w:val="000000"/>
                <w:kern w:val="0"/>
                <w:sz w:val="22"/>
              </w:rPr>
            </w:pPr>
            <w:proofErr w:type="spellStart"/>
            <w:r>
              <w:rPr>
                <w:rFonts w:eastAsia="Times New Roman" w:hint="eastAsia"/>
              </w:rPr>
              <w:t>电子票据开具</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开具红字电子票据</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打印纸质票据</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电子票据下载</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消息通知</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eastAsia="Times New Roman"/>
              </w:rPr>
            </w:pPr>
            <w:proofErr w:type="spellStart"/>
            <w:r>
              <w:rPr>
                <w:rFonts w:eastAsia="Times New Roman" w:hint="eastAsia"/>
              </w:rPr>
              <w:t>离线开票</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eastAsia="Times New Roman"/>
                <w:color w:val="0000FF"/>
              </w:rPr>
            </w:pPr>
            <w:r>
              <w:rPr>
                <w:rFonts w:ascii="宋体" w:eastAsia="宋体" w:hAnsi="宋体" w:cs="宋体" w:hint="eastAsia"/>
                <w:color w:val="0000FF"/>
              </w:rPr>
              <w:t>患者取票服务</w:t>
            </w:r>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eastAsia="Times New Roman"/>
                <w:color w:val="0000FF"/>
              </w:rPr>
            </w:pPr>
            <w:r>
              <w:rPr>
                <w:rFonts w:ascii="宋体" w:eastAsia="宋体" w:hAnsi="宋体" w:cs="宋体" w:hint="eastAsia"/>
                <w:color w:val="0000FF"/>
              </w:rPr>
              <w:t>电子票据</w:t>
            </w:r>
            <w:r>
              <w:rPr>
                <w:rFonts w:ascii="宋体" w:eastAsia="宋体" w:hAnsi="宋体" w:cs="宋体" w:hint="eastAsia"/>
                <w:color w:val="0000FF"/>
              </w:rPr>
              <w:t>C</w:t>
            </w:r>
            <w:r>
              <w:rPr>
                <w:rFonts w:ascii="宋体" w:eastAsia="宋体" w:hAnsi="宋体" w:cs="宋体"/>
                <w:color w:val="0000FF"/>
              </w:rPr>
              <w:t>A</w:t>
            </w:r>
            <w:r>
              <w:rPr>
                <w:rFonts w:ascii="宋体" w:eastAsia="宋体" w:hAnsi="宋体" w:cs="宋体" w:hint="eastAsia"/>
                <w:color w:val="0000FF"/>
              </w:rPr>
              <w:t>签名</w:t>
            </w:r>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FF"/>
                <w:kern w:val="0"/>
                <w:sz w:val="22"/>
              </w:rPr>
            </w:pPr>
            <w:r>
              <w:rPr>
                <w:rFonts w:ascii="宋体" w:eastAsia="宋体" w:hAnsi="宋体" w:cs="宋体" w:hint="eastAsia"/>
                <w:color w:val="0000FF"/>
                <w:kern w:val="0"/>
                <w:sz w:val="22"/>
              </w:rPr>
              <w:t>电子票据对外交互</w:t>
            </w:r>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val="restart"/>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color w:val="000000"/>
                <w:kern w:val="0"/>
                <w:sz w:val="22"/>
              </w:rPr>
              <w:t>报表查询</w:t>
            </w: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电子票据明细查询</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宋体"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纸质票据领用情况查询</w:t>
            </w:r>
            <w:proofErr w:type="spellEnd"/>
          </w:p>
        </w:tc>
      </w:tr>
      <w:tr w:rsidR="0049529D">
        <w:trPr>
          <w:trHeight w:val="285"/>
        </w:trPr>
        <w:tc>
          <w:tcPr>
            <w:tcW w:w="1555"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宋体"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电子票据汇总查询</w:t>
            </w:r>
            <w:proofErr w:type="spellEnd"/>
          </w:p>
        </w:tc>
      </w:tr>
      <w:tr w:rsidR="0049529D">
        <w:trPr>
          <w:trHeight w:val="285"/>
        </w:trPr>
        <w:tc>
          <w:tcPr>
            <w:tcW w:w="1555" w:type="dxa"/>
            <w:vMerge/>
            <w:vAlign w:val="center"/>
          </w:tcPr>
          <w:p w:rsidR="0049529D" w:rsidRDefault="0049529D">
            <w:pPr>
              <w:widowControl/>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val="restart"/>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color w:val="000000"/>
                <w:kern w:val="0"/>
                <w:sz w:val="22"/>
              </w:rPr>
              <w:t>基础信息维护</w:t>
            </w: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开票点管理</w:t>
            </w:r>
            <w:proofErr w:type="spellEnd"/>
          </w:p>
        </w:tc>
      </w:tr>
      <w:tr w:rsidR="0049529D">
        <w:trPr>
          <w:trHeight w:val="285"/>
        </w:trPr>
        <w:tc>
          <w:tcPr>
            <w:tcW w:w="1555" w:type="dxa"/>
            <w:vMerge/>
            <w:vAlign w:val="center"/>
          </w:tcPr>
          <w:p w:rsidR="0049529D" w:rsidRDefault="0049529D">
            <w:pPr>
              <w:widowControl/>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宋体"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证书管理</w:t>
            </w:r>
            <w:proofErr w:type="spellEnd"/>
          </w:p>
        </w:tc>
      </w:tr>
      <w:tr w:rsidR="0049529D">
        <w:trPr>
          <w:trHeight w:val="285"/>
        </w:trPr>
        <w:tc>
          <w:tcPr>
            <w:tcW w:w="1555" w:type="dxa"/>
            <w:vMerge/>
            <w:vAlign w:val="center"/>
          </w:tcPr>
          <w:p w:rsidR="0049529D" w:rsidRDefault="0049529D">
            <w:pPr>
              <w:widowControl/>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宋体"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单位信息管理</w:t>
            </w:r>
            <w:proofErr w:type="spellEnd"/>
          </w:p>
        </w:tc>
      </w:tr>
      <w:tr w:rsidR="0049529D">
        <w:trPr>
          <w:trHeight w:val="285"/>
        </w:trPr>
        <w:tc>
          <w:tcPr>
            <w:tcW w:w="1555" w:type="dxa"/>
            <w:vMerge/>
            <w:vAlign w:val="center"/>
          </w:tcPr>
          <w:p w:rsidR="0049529D" w:rsidRDefault="0049529D">
            <w:pPr>
              <w:widowControl/>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开票人员管理</w:t>
            </w:r>
            <w:proofErr w:type="spellEnd"/>
          </w:p>
        </w:tc>
      </w:tr>
      <w:tr w:rsidR="0049529D">
        <w:trPr>
          <w:trHeight w:val="285"/>
        </w:trPr>
        <w:tc>
          <w:tcPr>
            <w:tcW w:w="1555" w:type="dxa"/>
            <w:vMerge/>
            <w:vAlign w:val="center"/>
          </w:tcPr>
          <w:p w:rsidR="0049529D" w:rsidRDefault="0049529D">
            <w:pPr>
              <w:widowControl/>
              <w:jc w:val="center"/>
              <w:rPr>
                <w:rFonts w:ascii="宋体" w:eastAsia="Times New Roman" w:hAnsi="宋体" w:cs="宋体"/>
                <w:b/>
                <w:bCs/>
                <w:color w:val="000000"/>
                <w:kern w:val="0"/>
                <w:sz w:val="22"/>
              </w:rPr>
            </w:pPr>
          </w:p>
        </w:tc>
        <w:tc>
          <w:tcPr>
            <w:tcW w:w="850" w:type="dxa"/>
          </w:tcPr>
          <w:p w:rsidR="0049529D" w:rsidRDefault="0049529D">
            <w:pPr>
              <w:pStyle w:val="af"/>
              <w:widowControl/>
              <w:numPr>
                <w:ilvl w:val="0"/>
                <w:numId w:val="4"/>
              </w:numPr>
              <w:ind w:firstLineChars="0"/>
              <w:jc w:val="center"/>
              <w:rPr>
                <w:rFonts w:ascii="宋体" w:eastAsia="Times New Roman" w:hAnsi="宋体" w:cs="宋体"/>
                <w:color w:val="000000"/>
                <w:kern w:val="0"/>
                <w:sz w:val="22"/>
              </w:rPr>
            </w:pPr>
          </w:p>
        </w:tc>
        <w:tc>
          <w:tcPr>
            <w:tcW w:w="2410" w:type="dxa"/>
            <w:vMerge/>
          </w:tcPr>
          <w:p w:rsidR="0049529D" w:rsidRDefault="0049529D">
            <w:pPr>
              <w:widowControl/>
              <w:jc w:val="left"/>
              <w:rPr>
                <w:rFonts w:ascii="宋体" w:eastAsia="Times New Roman" w:hAnsi="宋体" w:cs="宋体"/>
                <w:color w:val="000000"/>
                <w:kern w:val="0"/>
                <w:sz w:val="22"/>
              </w:rPr>
            </w:pPr>
          </w:p>
        </w:tc>
        <w:tc>
          <w:tcPr>
            <w:tcW w:w="3402" w:type="dxa"/>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rPr>
              <w:t>票据管理</w:t>
            </w:r>
          </w:p>
        </w:tc>
      </w:tr>
    </w:tbl>
    <w:p w:rsidR="0049529D" w:rsidRDefault="0049529D"/>
    <w:p w:rsidR="0049529D" w:rsidRDefault="00D902FD">
      <w:pPr>
        <w:pStyle w:val="3"/>
      </w:pPr>
      <w:r>
        <w:rPr>
          <w:rFonts w:hint="eastAsia"/>
        </w:rPr>
        <w:t>合同包二</w:t>
      </w:r>
    </w:p>
    <w:tbl>
      <w:tblPr>
        <w:tblStyle w:val="ad"/>
        <w:tblW w:w="7911" w:type="dxa"/>
        <w:tblLayout w:type="fixed"/>
        <w:tblLook w:val="04A0" w:firstRow="1" w:lastRow="0" w:firstColumn="1" w:lastColumn="0" w:noHBand="0" w:noVBand="1"/>
      </w:tblPr>
      <w:tblGrid>
        <w:gridCol w:w="2263"/>
        <w:gridCol w:w="851"/>
        <w:gridCol w:w="4797"/>
      </w:tblGrid>
      <w:tr w:rsidR="0049529D">
        <w:trPr>
          <w:trHeight w:val="422"/>
        </w:trPr>
        <w:tc>
          <w:tcPr>
            <w:tcW w:w="2263" w:type="dxa"/>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模块分类</w:t>
            </w:r>
            <w:proofErr w:type="spellEnd"/>
          </w:p>
        </w:tc>
        <w:tc>
          <w:tcPr>
            <w:tcW w:w="851" w:type="dxa"/>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序号</w:t>
            </w:r>
            <w:proofErr w:type="spellEnd"/>
          </w:p>
        </w:tc>
        <w:tc>
          <w:tcPr>
            <w:tcW w:w="4797" w:type="dxa"/>
            <w:shd w:val="clear" w:color="auto" w:fill="B4C6E7" w:themeFill="accent5" w:themeFillTint="66"/>
          </w:tcPr>
          <w:p w:rsidR="0049529D" w:rsidRDefault="00D902FD">
            <w:pPr>
              <w:widowControl/>
              <w:jc w:val="center"/>
              <w:rPr>
                <w:rFonts w:ascii="宋体" w:eastAsia="Times New Roman" w:hAnsi="宋体" w:cs="宋体"/>
                <w:b/>
                <w:bCs/>
                <w:color w:val="000000"/>
                <w:kern w:val="0"/>
                <w:sz w:val="28"/>
                <w:szCs w:val="28"/>
              </w:rPr>
            </w:pPr>
            <w:proofErr w:type="spellStart"/>
            <w:r>
              <w:rPr>
                <w:rFonts w:ascii="宋体" w:eastAsia="Times New Roman" w:hAnsi="宋体" w:cs="宋体" w:hint="eastAsia"/>
                <w:b/>
                <w:bCs/>
                <w:color w:val="000000"/>
                <w:kern w:val="0"/>
                <w:sz w:val="28"/>
                <w:szCs w:val="28"/>
              </w:rPr>
              <w:t>模块名称</w:t>
            </w:r>
            <w:proofErr w:type="spellEnd"/>
          </w:p>
        </w:tc>
      </w:tr>
      <w:tr w:rsidR="0049529D">
        <w:trPr>
          <w:trHeight w:val="285"/>
        </w:trPr>
        <w:tc>
          <w:tcPr>
            <w:tcW w:w="2263" w:type="dxa"/>
            <w:vMerge w:val="restart"/>
            <w:vAlign w:val="center"/>
          </w:tcPr>
          <w:p w:rsidR="0049529D" w:rsidRDefault="00D902FD">
            <w:pPr>
              <w:ind w:firstLineChars="10" w:firstLine="22"/>
              <w:jc w:val="center"/>
              <w:rPr>
                <w:rFonts w:ascii="宋体" w:eastAsia="Times New Roman" w:hAnsi="宋体" w:cs="宋体"/>
                <w:b/>
                <w:bCs/>
                <w:color w:val="000000"/>
                <w:kern w:val="0"/>
                <w:sz w:val="22"/>
              </w:rPr>
            </w:pPr>
            <w:r>
              <w:rPr>
                <w:rFonts w:asciiTheme="minorEastAsia" w:hAnsiTheme="minorEastAsia" w:cs="宋体" w:hint="eastAsia"/>
                <w:b/>
                <w:bCs/>
                <w:color w:val="000000"/>
                <w:kern w:val="0"/>
                <w:sz w:val="22"/>
              </w:rPr>
              <w:t>HIS</w:t>
            </w:r>
            <w:r>
              <w:rPr>
                <w:rFonts w:ascii="宋体" w:eastAsia="宋体" w:hAnsi="宋体" w:cs="宋体" w:hint="eastAsia"/>
                <w:b/>
                <w:bCs/>
                <w:color w:val="000000"/>
                <w:kern w:val="0"/>
                <w:sz w:val="22"/>
              </w:rPr>
              <w:t>系统电子票据集成改造</w:t>
            </w: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r>
              <w:rPr>
                <w:rFonts w:ascii="宋体" w:eastAsia="宋体" w:hAnsi="宋体" w:cs="宋体" w:hint="eastAsia"/>
              </w:rPr>
              <w:t>发</w:t>
            </w:r>
            <w:proofErr w:type="spellStart"/>
            <w:r>
              <w:rPr>
                <w:rFonts w:eastAsia="Times New Roman" w:hint="eastAsia"/>
              </w:rPr>
              <w:t>票分类维护</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编码对照</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电子票据领用</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纸质票据领用</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门诊</w:t>
            </w:r>
            <w:proofErr w:type="spellEnd"/>
            <w:r>
              <w:rPr>
                <w:rFonts w:eastAsia="宋体" w:hint="eastAsia"/>
              </w:rPr>
              <w:t>（含体检）</w:t>
            </w:r>
            <w:proofErr w:type="spellStart"/>
            <w:r>
              <w:rPr>
                <w:rFonts w:eastAsia="Times New Roman" w:hint="eastAsia"/>
              </w:rPr>
              <w:t>结算开具电子票据</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住院结算开具电子票据</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冲销电子票据</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eastAsia="Times New Roman"/>
              </w:rPr>
            </w:pPr>
            <w:proofErr w:type="spellStart"/>
            <w:r>
              <w:rPr>
                <w:rFonts w:eastAsia="Times New Roman" w:hint="eastAsia"/>
              </w:rPr>
              <w:t>冲销</w:t>
            </w:r>
            <w:proofErr w:type="spellEnd"/>
            <w:r>
              <w:rPr>
                <w:rFonts w:eastAsia="宋体" w:hint="eastAsia"/>
              </w:rPr>
              <w:t>纸质</w:t>
            </w:r>
            <w:proofErr w:type="spellStart"/>
            <w:r>
              <w:rPr>
                <w:rFonts w:eastAsia="Times New Roman" w:hint="eastAsia"/>
              </w:rPr>
              <w:t>票据</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票据打印</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开票号码查询</w:t>
            </w:r>
            <w:proofErr w:type="spellEnd"/>
          </w:p>
        </w:tc>
      </w:tr>
      <w:tr w:rsidR="0049529D">
        <w:trPr>
          <w:trHeight w:val="285"/>
        </w:trPr>
        <w:tc>
          <w:tcPr>
            <w:tcW w:w="2263" w:type="dxa"/>
            <w:vMerge/>
            <w:vAlign w:val="center"/>
          </w:tcPr>
          <w:p w:rsidR="0049529D" w:rsidRDefault="0049529D">
            <w:pPr>
              <w:ind w:firstLine="442"/>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票据使用情况查询</w:t>
            </w:r>
            <w:proofErr w:type="spellEnd"/>
          </w:p>
        </w:tc>
      </w:tr>
      <w:tr w:rsidR="0049529D">
        <w:trPr>
          <w:trHeight w:val="285"/>
        </w:trPr>
        <w:tc>
          <w:tcPr>
            <w:tcW w:w="2263" w:type="dxa"/>
            <w:vMerge/>
            <w:vAlign w:val="center"/>
          </w:tcPr>
          <w:p w:rsidR="0049529D" w:rsidRDefault="0049529D">
            <w:pPr>
              <w:widowControl/>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票据领入情况查询</w:t>
            </w:r>
            <w:proofErr w:type="spellEnd"/>
          </w:p>
        </w:tc>
      </w:tr>
      <w:tr w:rsidR="0049529D">
        <w:trPr>
          <w:trHeight w:val="285"/>
        </w:trPr>
        <w:tc>
          <w:tcPr>
            <w:tcW w:w="2263" w:type="dxa"/>
            <w:vMerge/>
            <w:vAlign w:val="center"/>
          </w:tcPr>
          <w:p w:rsidR="0049529D" w:rsidRDefault="0049529D">
            <w:pPr>
              <w:widowControl/>
              <w:jc w:val="center"/>
              <w:rPr>
                <w:rFonts w:ascii="宋体" w:eastAsia="Times New Roman" w:hAnsi="宋体" w:cs="宋体"/>
                <w:b/>
                <w:bCs/>
                <w:color w:val="000000"/>
                <w:kern w:val="0"/>
                <w:sz w:val="22"/>
              </w:rPr>
            </w:pPr>
          </w:p>
        </w:tc>
        <w:tc>
          <w:tcPr>
            <w:tcW w:w="851" w:type="dxa"/>
          </w:tcPr>
          <w:p w:rsidR="0049529D" w:rsidRDefault="0049529D">
            <w:pPr>
              <w:pStyle w:val="af"/>
              <w:widowControl/>
              <w:numPr>
                <w:ilvl w:val="0"/>
                <w:numId w:val="5"/>
              </w:numPr>
              <w:ind w:firstLineChars="0"/>
              <w:jc w:val="center"/>
              <w:rPr>
                <w:rFonts w:ascii="宋体" w:eastAsia="Times New Roman" w:hAnsi="宋体" w:cs="宋体"/>
                <w:color w:val="000000"/>
                <w:kern w:val="0"/>
                <w:sz w:val="22"/>
              </w:rPr>
            </w:pPr>
          </w:p>
        </w:tc>
        <w:tc>
          <w:tcPr>
            <w:tcW w:w="4797" w:type="dxa"/>
          </w:tcPr>
          <w:p w:rsidR="0049529D" w:rsidRDefault="00D902FD">
            <w:pPr>
              <w:widowControl/>
              <w:jc w:val="left"/>
              <w:rPr>
                <w:rFonts w:ascii="宋体" w:eastAsia="Times New Roman" w:hAnsi="宋体" w:cs="宋体"/>
                <w:color w:val="000000"/>
                <w:kern w:val="0"/>
                <w:sz w:val="22"/>
              </w:rPr>
            </w:pPr>
            <w:proofErr w:type="spellStart"/>
            <w:r>
              <w:rPr>
                <w:rFonts w:eastAsia="Times New Roman" w:hint="eastAsia"/>
              </w:rPr>
              <w:t>查询与统计</w:t>
            </w:r>
            <w:proofErr w:type="spellEnd"/>
          </w:p>
        </w:tc>
      </w:tr>
    </w:tbl>
    <w:p w:rsidR="0049529D" w:rsidRDefault="0049529D"/>
    <w:p w:rsidR="0049529D" w:rsidRDefault="00D902FD">
      <w:pPr>
        <w:pStyle w:val="2"/>
      </w:pPr>
      <w:r>
        <w:rPr>
          <w:rFonts w:hint="eastAsia"/>
        </w:rPr>
        <w:t>技术服务要求</w:t>
      </w:r>
    </w:p>
    <w:p w:rsidR="0049529D" w:rsidRDefault="00D902FD">
      <w:pPr>
        <w:pStyle w:val="3"/>
      </w:pPr>
      <w:r>
        <w:rPr>
          <w:rFonts w:hint="eastAsia"/>
        </w:rPr>
        <w:t>合同包一</w:t>
      </w:r>
    </w:p>
    <w:p w:rsidR="0049529D" w:rsidRDefault="00D902FD">
      <w:pPr>
        <w:pStyle w:val="af2"/>
        <w:ind w:firstLine="480"/>
        <w:rPr>
          <w:rFonts w:asciiTheme="minorEastAsia" w:hAnsiTheme="minorEastAsia"/>
          <w:szCs w:val="28"/>
        </w:rPr>
      </w:pPr>
      <w:r>
        <w:rPr>
          <w:rFonts w:hint="eastAsia"/>
        </w:rPr>
        <w:t>★</w:t>
      </w:r>
      <w:r>
        <w:rPr>
          <w:rFonts w:asciiTheme="minorEastAsia" w:hAnsiTheme="minorEastAsia" w:hint="eastAsia"/>
          <w:szCs w:val="28"/>
        </w:rPr>
        <w:t>数据库管理系统：数据库管理系统要求采用业界领先成熟的关系数据库，能实现与医院现有</w:t>
      </w:r>
      <w:r>
        <w:rPr>
          <w:rFonts w:asciiTheme="minorEastAsia" w:hAnsiTheme="minorEastAsia" w:hint="eastAsia"/>
          <w:szCs w:val="28"/>
        </w:rPr>
        <w:t>HIS</w:t>
      </w:r>
      <w:r>
        <w:rPr>
          <w:rFonts w:asciiTheme="minorEastAsia" w:hAnsiTheme="minorEastAsia" w:hint="eastAsia"/>
          <w:szCs w:val="28"/>
        </w:rPr>
        <w:t>系统的数据对接。</w:t>
      </w:r>
      <w:r>
        <w:rPr>
          <w:rFonts w:hint="eastAsia"/>
        </w:rPr>
        <w:t>须提供书面承诺，否则投标无效。</w:t>
      </w:r>
    </w:p>
    <w:p w:rsidR="0049529D" w:rsidRDefault="00D902FD">
      <w:pPr>
        <w:pStyle w:val="af2"/>
        <w:ind w:firstLine="480"/>
      </w:pPr>
      <w:r>
        <w:rPr>
          <w:rFonts w:cs="宋体" w:hint="eastAsia"/>
          <w:kern w:val="0"/>
        </w:rPr>
        <w:t>★</w:t>
      </w:r>
      <w:r>
        <w:rPr>
          <w:rFonts w:hint="eastAsia"/>
        </w:rPr>
        <w:t>要求投标人承诺涉及现有医院信息系统与本项目建设而产生的系统改造、对接等费用均已包含在本项目总报价中，由中标方与相关供应商协商，采购人不</w:t>
      </w:r>
      <w:r>
        <w:rPr>
          <w:rFonts w:hint="eastAsia"/>
        </w:rPr>
        <w:lastRenderedPageBreak/>
        <w:t>再为此支付任何费用。须提供书面承诺，否则投标无效。</w:t>
      </w:r>
    </w:p>
    <w:p w:rsidR="0049529D" w:rsidRDefault="00D902FD">
      <w:pPr>
        <w:pStyle w:val="3"/>
      </w:pPr>
      <w:r>
        <w:rPr>
          <w:rFonts w:hint="eastAsia"/>
        </w:rPr>
        <w:t>合同包二</w:t>
      </w:r>
    </w:p>
    <w:p w:rsidR="0049529D" w:rsidRDefault="00D902FD">
      <w:pPr>
        <w:pStyle w:val="af2"/>
        <w:ind w:firstLine="480"/>
        <w:rPr>
          <w:rFonts w:asciiTheme="minorEastAsia" w:hAnsiTheme="minorEastAsia"/>
          <w:szCs w:val="28"/>
        </w:rPr>
      </w:pPr>
      <w:r>
        <w:rPr>
          <w:rFonts w:hint="eastAsia"/>
        </w:rPr>
        <w:t>★</w:t>
      </w:r>
      <w:r>
        <w:rPr>
          <w:rFonts w:asciiTheme="minorEastAsia" w:hAnsiTheme="minorEastAsia" w:hint="eastAsia"/>
          <w:szCs w:val="28"/>
        </w:rPr>
        <w:t>数据库管理系统：数据库管理系统要求采用业界领先成熟的大型关系型数据库，能实现与医院现有</w:t>
      </w:r>
      <w:r>
        <w:rPr>
          <w:rFonts w:asciiTheme="minorEastAsia" w:hAnsiTheme="minorEastAsia" w:hint="eastAsia"/>
          <w:szCs w:val="28"/>
        </w:rPr>
        <w:t>HIS</w:t>
      </w:r>
      <w:r>
        <w:rPr>
          <w:rFonts w:asciiTheme="minorEastAsia" w:hAnsiTheme="minorEastAsia" w:hint="eastAsia"/>
          <w:szCs w:val="28"/>
        </w:rPr>
        <w:t>系统的数据对接。</w:t>
      </w:r>
      <w:r>
        <w:rPr>
          <w:rFonts w:hint="eastAsia"/>
        </w:rPr>
        <w:t>须提供书面承诺，否则投标无效。</w:t>
      </w:r>
    </w:p>
    <w:p w:rsidR="0049529D" w:rsidRDefault="00D902FD">
      <w:pPr>
        <w:pStyle w:val="af2"/>
        <w:ind w:firstLine="480"/>
        <w:rPr>
          <w:rFonts w:cs="宋体"/>
          <w:kern w:val="0"/>
        </w:rPr>
      </w:pPr>
      <w:r>
        <w:rPr>
          <w:rFonts w:cs="宋体" w:hint="eastAsia"/>
          <w:kern w:val="0"/>
        </w:rPr>
        <w:t>★投标人必须做书面承诺：本系统要能够与医院现有的</w:t>
      </w:r>
      <w:r>
        <w:rPr>
          <w:rFonts w:cs="宋体" w:hint="eastAsia"/>
          <w:kern w:val="0"/>
        </w:rPr>
        <w:t>HIS</w:t>
      </w:r>
      <w:r>
        <w:rPr>
          <w:rFonts w:cs="宋体" w:hint="eastAsia"/>
          <w:kern w:val="0"/>
        </w:rPr>
        <w:t>系统进行界面的一体化整合、系统无缝对接，涉及到</w:t>
      </w:r>
      <w:r>
        <w:rPr>
          <w:rFonts w:cs="宋体" w:hint="eastAsia"/>
          <w:kern w:val="0"/>
        </w:rPr>
        <w:t>HIS</w:t>
      </w:r>
      <w:r>
        <w:rPr>
          <w:rFonts w:cs="宋体" w:hint="eastAsia"/>
          <w:kern w:val="0"/>
        </w:rPr>
        <w:t>系统与本项目集成而产生的系统改造、接口程序编写等费用包含在</w:t>
      </w:r>
      <w:r>
        <w:rPr>
          <w:rFonts w:cs="宋体"/>
          <w:kern w:val="0"/>
        </w:rPr>
        <w:t>本项目总报价中，</w:t>
      </w:r>
      <w:r>
        <w:rPr>
          <w:rFonts w:cs="宋体" w:hint="eastAsia"/>
          <w:kern w:val="0"/>
        </w:rPr>
        <w:t>由</w:t>
      </w:r>
      <w:r>
        <w:rPr>
          <w:rFonts w:cs="宋体"/>
          <w:kern w:val="0"/>
        </w:rPr>
        <w:t>中标方</w:t>
      </w:r>
      <w:r>
        <w:rPr>
          <w:rFonts w:cs="宋体" w:hint="eastAsia"/>
          <w:kern w:val="0"/>
        </w:rPr>
        <w:t>与</w:t>
      </w:r>
      <w:r>
        <w:rPr>
          <w:rFonts w:cs="宋体"/>
          <w:kern w:val="0"/>
        </w:rPr>
        <w:t>相关供应商协商，</w:t>
      </w:r>
      <w:r>
        <w:rPr>
          <w:rFonts w:cs="宋体" w:hint="eastAsia"/>
          <w:kern w:val="0"/>
        </w:rPr>
        <w:t>招标</w:t>
      </w:r>
      <w:r>
        <w:rPr>
          <w:rFonts w:cs="宋体"/>
          <w:kern w:val="0"/>
        </w:rPr>
        <w:t>人不再</w:t>
      </w:r>
      <w:r>
        <w:rPr>
          <w:rFonts w:cs="宋体" w:hint="eastAsia"/>
          <w:kern w:val="0"/>
        </w:rPr>
        <w:t>为此</w:t>
      </w:r>
      <w:r>
        <w:rPr>
          <w:rFonts w:cs="宋体"/>
          <w:kern w:val="0"/>
        </w:rPr>
        <w:t>支付任何费用</w:t>
      </w:r>
      <w:r>
        <w:rPr>
          <w:rFonts w:cs="宋体" w:hint="eastAsia"/>
          <w:kern w:val="0"/>
        </w:rPr>
        <w:t>。</w:t>
      </w:r>
      <w:r>
        <w:rPr>
          <w:rFonts w:hint="eastAsia"/>
        </w:rPr>
        <w:t>须提供书面承诺，否则投标无效。</w:t>
      </w:r>
    </w:p>
    <w:p w:rsidR="0049529D" w:rsidRDefault="00D902FD">
      <w:pPr>
        <w:pStyle w:val="2"/>
      </w:pPr>
      <w:bookmarkStart w:id="1" w:name="_Toc29203059"/>
      <w:r>
        <w:rPr>
          <w:rFonts w:hint="eastAsia"/>
        </w:rPr>
        <w:t>技术</w:t>
      </w:r>
      <w:r>
        <w:t>参数及</w:t>
      </w:r>
      <w:r>
        <w:rPr>
          <w:rFonts w:hint="eastAsia"/>
        </w:rPr>
        <w:t>软件</w:t>
      </w:r>
      <w:r>
        <w:t>功能</w:t>
      </w:r>
      <w:bookmarkEnd w:id="1"/>
    </w:p>
    <w:p w:rsidR="0049529D" w:rsidRDefault="00D902FD">
      <w:pPr>
        <w:pStyle w:val="3"/>
      </w:pPr>
      <w:r>
        <w:rPr>
          <w:rFonts w:hint="eastAsia"/>
        </w:rPr>
        <w:t>合同包</w:t>
      </w:r>
      <w:proofErr w:type="gramStart"/>
      <w:r>
        <w:rPr>
          <w:rFonts w:hint="eastAsia"/>
        </w:rPr>
        <w:t>一</w:t>
      </w:r>
      <w:proofErr w:type="gramEnd"/>
      <w:r>
        <w:rPr>
          <w:rFonts w:hint="eastAsia"/>
        </w:rPr>
        <w:t>（电子票据前置服务系统）</w:t>
      </w:r>
    </w:p>
    <w:p w:rsidR="0049529D" w:rsidRDefault="00D902FD">
      <w:pPr>
        <w:pStyle w:val="4"/>
      </w:pPr>
      <w:bookmarkStart w:id="2" w:name="_Toc44652674"/>
      <w:bookmarkStart w:id="3" w:name="_Toc33122999"/>
      <w:r>
        <w:rPr>
          <w:rFonts w:hint="eastAsia"/>
        </w:rPr>
        <w:t>纸质票据管理</w:t>
      </w:r>
      <w:bookmarkEnd w:id="2"/>
    </w:p>
    <w:p w:rsidR="0049529D" w:rsidRDefault="00D902FD">
      <w:pPr>
        <w:pStyle w:val="af2"/>
        <w:ind w:firstLine="480"/>
        <w:rPr>
          <w:rFonts w:cs="宋体"/>
          <w:color w:val="000000"/>
        </w:rPr>
      </w:pPr>
      <w:r>
        <w:rPr>
          <w:rFonts w:cs="宋体" w:hint="eastAsia"/>
          <w:color w:val="000000"/>
        </w:rPr>
        <w:t>要求针对院内纸质票据进行管理，包括票据的入库、分发、费做等功能模块。</w:t>
      </w:r>
    </w:p>
    <w:p w:rsidR="0049529D" w:rsidRDefault="00D902FD">
      <w:pPr>
        <w:pStyle w:val="5"/>
      </w:pPr>
      <w:r>
        <w:rPr>
          <w:rFonts w:hint="eastAsia"/>
        </w:rPr>
        <w:t>纸质票据入库</w:t>
      </w:r>
    </w:p>
    <w:p w:rsidR="0049529D" w:rsidRDefault="00D902FD">
      <w:pPr>
        <w:pStyle w:val="af2"/>
        <w:ind w:firstLine="480"/>
        <w:rPr>
          <w:color w:val="000000"/>
        </w:rPr>
      </w:pPr>
      <w:r>
        <w:rPr>
          <w:rFonts w:cs="宋体" w:hint="eastAsia"/>
          <w:color w:val="000000"/>
        </w:rPr>
        <w:t>要求</w:t>
      </w:r>
      <w:r>
        <w:rPr>
          <w:rFonts w:hint="eastAsia"/>
          <w:color w:val="000000"/>
        </w:rPr>
        <w:t>对从财政局申请到的纸质票据进行入库管理，记录申请人、申请时间、纸质</w:t>
      </w:r>
      <w:proofErr w:type="gramStart"/>
      <w:r>
        <w:rPr>
          <w:rFonts w:hint="eastAsia"/>
          <w:color w:val="000000"/>
        </w:rPr>
        <w:t>票据号段等</w:t>
      </w:r>
      <w:proofErr w:type="gramEnd"/>
      <w:r>
        <w:rPr>
          <w:rFonts w:hint="eastAsia"/>
          <w:color w:val="000000"/>
        </w:rPr>
        <w:t>信息。</w:t>
      </w:r>
    </w:p>
    <w:bookmarkEnd w:id="3"/>
    <w:p w:rsidR="0049529D" w:rsidRDefault="00D902FD">
      <w:pPr>
        <w:pStyle w:val="5"/>
      </w:pPr>
      <w:r>
        <w:rPr>
          <w:rFonts w:hint="eastAsia"/>
        </w:rPr>
        <w:t>纸质票据分发</w:t>
      </w:r>
    </w:p>
    <w:p w:rsidR="0049529D" w:rsidRDefault="00D902FD">
      <w:pPr>
        <w:pStyle w:val="af2"/>
        <w:ind w:firstLine="480"/>
        <w:rPr>
          <w:color w:val="000000"/>
        </w:rPr>
      </w:pPr>
      <w:r>
        <w:rPr>
          <w:rFonts w:hint="eastAsia"/>
        </w:rPr>
        <w:t>纸质票据分发，将纸质票据发放到各收费窗口和自助开等开票点。</w:t>
      </w:r>
    </w:p>
    <w:p w:rsidR="0049529D" w:rsidRDefault="00D902FD">
      <w:pPr>
        <w:pStyle w:val="5"/>
      </w:pPr>
      <w:r>
        <w:rPr>
          <w:rFonts w:hint="eastAsia"/>
        </w:rPr>
        <w:t>纸质票据作废</w:t>
      </w:r>
    </w:p>
    <w:p w:rsidR="0049529D" w:rsidRDefault="00D902FD">
      <w:pPr>
        <w:pStyle w:val="af2"/>
        <w:ind w:firstLine="480"/>
      </w:pPr>
      <w:r>
        <w:rPr>
          <w:rFonts w:cs="宋体" w:hint="eastAsia"/>
          <w:color w:val="000000"/>
        </w:rPr>
        <w:t>要求</w:t>
      </w:r>
      <w:r>
        <w:rPr>
          <w:rFonts w:hint="eastAsia"/>
        </w:rPr>
        <w:t>医院从财政领购票据后，因票据遗失、损毁或财政政策变更需要将纸质票据进行批量作废，可在系统填写库存作废申请，提交上级财政审核。</w:t>
      </w:r>
    </w:p>
    <w:p w:rsidR="0049529D" w:rsidRDefault="00D902FD">
      <w:pPr>
        <w:pStyle w:val="4"/>
      </w:pPr>
      <w:bookmarkStart w:id="4" w:name="_Toc44652675"/>
      <w:r>
        <w:rPr>
          <w:rFonts w:hint="eastAsia"/>
        </w:rPr>
        <w:lastRenderedPageBreak/>
        <w:t>电子票据功能</w:t>
      </w:r>
      <w:bookmarkEnd w:id="4"/>
    </w:p>
    <w:p w:rsidR="0049529D" w:rsidRDefault="00D902FD">
      <w:pPr>
        <w:pStyle w:val="5"/>
      </w:pPr>
      <w:r>
        <w:rPr>
          <w:rFonts w:hint="eastAsia"/>
        </w:rPr>
        <w:t>电子票据开具</w:t>
      </w:r>
    </w:p>
    <w:p w:rsidR="0049529D" w:rsidRDefault="00D902FD">
      <w:pPr>
        <w:pStyle w:val="af2"/>
        <w:ind w:firstLine="480"/>
        <w:rPr>
          <w:lang w:val="zh-CN"/>
        </w:rPr>
      </w:pPr>
      <w:r>
        <w:rPr>
          <w:rFonts w:cs="宋体" w:hint="eastAsia"/>
          <w:color w:val="000000"/>
        </w:rPr>
        <w:t>要求</w:t>
      </w:r>
      <w:r>
        <w:rPr>
          <w:rFonts w:hint="eastAsia"/>
          <w:lang w:val="zh-CN"/>
        </w:rPr>
        <w:t>提供开具</w:t>
      </w:r>
      <w:r>
        <w:rPr>
          <w:lang w:val="zh-CN"/>
        </w:rPr>
        <w:t>电子票据信息</w:t>
      </w:r>
      <w:r>
        <w:t>数据</w:t>
      </w:r>
      <w:r>
        <w:rPr>
          <w:lang w:val="zh-CN"/>
        </w:rPr>
        <w:t>，</w:t>
      </w:r>
      <w:r>
        <w:rPr>
          <w:rFonts w:hint="eastAsia"/>
          <w:lang w:val="zh-CN"/>
        </w:rPr>
        <w:t>向财政电子</w:t>
      </w:r>
      <w:r>
        <w:rPr>
          <w:lang w:val="zh-CN"/>
        </w:rPr>
        <w:t>票据平台</w:t>
      </w:r>
      <w:r>
        <w:rPr>
          <w:rFonts w:hint="eastAsia"/>
          <w:lang w:val="zh-CN"/>
        </w:rPr>
        <w:t>发起电子</w:t>
      </w:r>
      <w:r>
        <w:rPr>
          <w:lang w:val="zh-CN"/>
        </w:rPr>
        <w:t>票据开具</w:t>
      </w:r>
      <w:r>
        <w:rPr>
          <w:rFonts w:hint="eastAsia"/>
          <w:lang w:val="zh-CN"/>
        </w:rPr>
        <w:t>请求</w:t>
      </w:r>
      <w:r>
        <w:rPr>
          <w:lang w:val="zh-CN"/>
        </w:rPr>
        <w:t>，</w:t>
      </w:r>
      <w:r>
        <w:rPr>
          <w:rFonts w:hint="eastAsia"/>
          <w:lang w:val="zh-CN"/>
        </w:rPr>
        <w:t>生成电子票据，并返回电子票据相关信息和</w:t>
      </w:r>
      <w:r>
        <w:rPr>
          <w:lang w:val="zh-CN"/>
        </w:rPr>
        <w:t>告知单信息</w:t>
      </w:r>
    </w:p>
    <w:p w:rsidR="0049529D" w:rsidRDefault="00D902FD">
      <w:pPr>
        <w:pStyle w:val="5"/>
      </w:pPr>
      <w:r>
        <w:rPr>
          <w:rFonts w:hint="eastAsia"/>
        </w:rPr>
        <w:t>开具红字电子票据</w:t>
      </w:r>
    </w:p>
    <w:p w:rsidR="0049529D" w:rsidRDefault="00D902FD">
      <w:pPr>
        <w:pStyle w:val="af2"/>
        <w:ind w:firstLine="480"/>
        <w:rPr>
          <w:lang w:val="zh-CN"/>
        </w:rPr>
      </w:pPr>
      <w:r>
        <w:rPr>
          <w:rFonts w:cs="宋体" w:hint="eastAsia"/>
          <w:color w:val="000000"/>
        </w:rPr>
        <w:t>要求</w:t>
      </w:r>
      <w:r>
        <w:rPr>
          <w:rFonts w:hint="eastAsia"/>
        </w:rPr>
        <w:t>根据电子票据信息</w:t>
      </w:r>
      <w:r>
        <w:t>，</w:t>
      </w:r>
      <w:r>
        <w:rPr>
          <w:rFonts w:hint="eastAsia"/>
        </w:rPr>
        <w:t>向</w:t>
      </w:r>
      <w:bookmarkStart w:id="5" w:name="OLE_LINK30"/>
      <w:r>
        <w:rPr>
          <w:rFonts w:hint="eastAsia"/>
          <w:lang w:val="zh-CN"/>
        </w:rPr>
        <w:t>财政</w:t>
      </w:r>
      <w:r>
        <w:rPr>
          <w:rFonts w:hint="eastAsia"/>
        </w:rPr>
        <w:t>电子票据管理平台</w:t>
      </w:r>
      <w:bookmarkEnd w:id="5"/>
      <w:r>
        <w:rPr>
          <w:rFonts w:hint="eastAsia"/>
        </w:rPr>
        <w:t>发起已使用票据冲红请求</w:t>
      </w:r>
      <w:r>
        <w:rPr>
          <w:rFonts w:hint="eastAsia"/>
          <w:lang w:val="zh-CN"/>
        </w:rPr>
        <w:t>。</w:t>
      </w:r>
    </w:p>
    <w:p w:rsidR="0049529D" w:rsidRDefault="00D902FD">
      <w:pPr>
        <w:pStyle w:val="5"/>
      </w:pPr>
      <w:r>
        <w:rPr>
          <w:rFonts w:hint="eastAsia"/>
        </w:rPr>
        <w:t>打印纸质票据</w:t>
      </w:r>
    </w:p>
    <w:p w:rsidR="0049529D" w:rsidRDefault="00D902FD">
      <w:pPr>
        <w:pStyle w:val="af2"/>
        <w:ind w:firstLine="480"/>
        <w:rPr>
          <w:lang w:val="zh-CN"/>
        </w:rPr>
      </w:pPr>
      <w:r>
        <w:rPr>
          <w:rFonts w:hint="eastAsia"/>
        </w:rPr>
        <w:t>已开具的电子票据，可根据患者需要，</w:t>
      </w:r>
      <w:proofErr w:type="gramStart"/>
      <w:r>
        <w:rPr>
          <w:rFonts w:hint="eastAsia"/>
        </w:rPr>
        <w:t>持电子</w:t>
      </w:r>
      <w:proofErr w:type="gramEnd"/>
      <w:r>
        <w:rPr>
          <w:rFonts w:hint="eastAsia"/>
        </w:rPr>
        <w:t>票到医院收费窗口或自助设备上，将电子票据打印为</w:t>
      </w:r>
      <w:r>
        <w:t>财政</w:t>
      </w:r>
      <w:r>
        <w:rPr>
          <w:rFonts w:hint="eastAsia"/>
        </w:rPr>
        <w:t>纸质票据</w:t>
      </w:r>
      <w:r>
        <w:rPr>
          <w:rFonts w:hint="eastAsia"/>
          <w:lang w:val="zh-CN"/>
        </w:rPr>
        <w:t>。</w:t>
      </w:r>
    </w:p>
    <w:p w:rsidR="0049529D" w:rsidRDefault="00D902FD">
      <w:pPr>
        <w:pStyle w:val="5"/>
      </w:pPr>
      <w:r>
        <w:rPr>
          <w:rFonts w:hint="eastAsia"/>
        </w:rPr>
        <w:t>电子票据下载</w:t>
      </w:r>
    </w:p>
    <w:p w:rsidR="0049529D" w:rsidRDefault="00D902FD">
      <w:pPr>
        <w:pStyle w:val="af2"/>
        <w:ind w:firstLine="480"/>
        <w:rPr>
          <w:rFonts w:ascii="仿宋" w:eastAsia="仿宋" w:hAnsi="仿宋" w:cs="仿宋"/>
        </w:rPr>
      </w:pPr>
      <w:r>
        <w:rPr>
          <w:rFonts w:cs="宋体" w:hint="eastAsia"/>
          <w:color w:val="000000"/>
        </w:rPr>
        <w:t>要求</w:t>
      </w:r>
      <w:r>
        <w:rPr>
          <w:rFonts w:hint="eastAsia"/>
        </w:rPr>
        <w:t>通过财政提供的电子票据服务平台下载票据的接口，定期从财政服务器下载电子票据文件，存储到本地服务器。医疗单位可从已</w:t>
      </w:r>
      <w:r>
        <w:t>存储</w:t>
      </w:r>
      <w:r>
        <w:rPr>
          <w:rFonts w:hint="eastAsia"/>
        </w:rPr>
        <w:t>的电子票据信息中检索相应的电子票据，并下载导出系统。</w:t>
      </w:r>
    </w:p>
    <w:p w:rsidR="0049529D" w:rsidRDefault="00D902FD">
      <w:pPr>
        <w:pStyle w:val="5"/>
      </w:pPr>
      <w:r>
        <w:rPr>
          <w:rFonts w:hint="eastAsia"/>
        </w:rPr>
        <w:t>消息通知</w:t>
      </w:r>
    </w:p>
    <w:p w:rsidR="0049529D" w:rsidRDefault="00D902FD">
      <w:pPr>
        <w:pStyle w:val="af2"/>
        <w:ind w:firstLine="480"/>
      </w:pPr>
      <w:r>
        <w:rPr>
          <w:rFonts w:cs="宋体" w:hint="eastAsia"/>
          <w:color w:val="000000"/>
        </w:rPr>
        <w:t>要求</w:t>
      </w:r>
      <w:r>
        <w:t>医疗电子票据平台</w:t>
      </w:r>
      <w:r>
        <w:rPr>
          <w:rFonts w:hint="eastAsia"/>
        </w:rPr>
        <w:t>开具电子票据成功，通过</w:t>
      </w:r>
      <w:r>
        <w:rPr>
          <w:rFonts w:hint="eastAsia"/>
        </w:rPr>
        <w:t>HIS</w:t>
      </w:r>
      <w:r>
        <w:rPr>
          <w:rFonts w:hint="eastAsia"/>
        </w:rPr>
        <w:t>系统向院内第</w:t>
      </w:r>
      <w:r>
        <w:rPr>
          <w:rFonts w:hint="eastAsia"/>
        </w:rPr>
        <w:t>一医院</w:t>
      </w:r>
      <w:proofErr w:type="gramStart"/>
      <w:r>
        <w:rPr>
          <w:rFonts w:hint="eastAsia"/>
        </w:rPr>
        <w:t>公众号推送电</w:t>
      </w:r>
      <w:proofErr w:type="gramEnd"/>
      <w:r>
        <w:rPr>
          <w:rFonts w:hint="eastAsia"/>
        </w:rPr>
        <w:t>子票据信息，患者可以在公众号查询、查看电子票据信息。</w:t>
      </w:r>
    </w:p>
    <w:p w:rsidR="0049529D" w:rsidRDefault="00D902FD">
      <w:pPr>
        <w:pStyle w:val="5"/>
      </w:pPr>
      <w:r>
        <w:rPr>
          <w:rFonts w:hint="eastAsia"/>
        </w:rPr>
        <w:t>离线开票</w:t>
      </w:r>
    </w:p>
    <w:p w:rsidR="0049529D" w:rsidRDefault="00D902FD">
      <w:pPr>
        <w:pStyle w:val="af2"/>
        <w:ind w:firstLine="480"/>
        <w:rPr>
          <w:lang w:val="zh-CN"/>
        </w:rPr>
      </w:pPr>
      <w:r>
        <w:rPr>
          <w:rFonts w:cs="宋体" w:hint="eastAsia"/>
          <w:color w:val="000000"/>
        </w:rPr>
        <w:t>要求</w:t>
      </w:r>
      <w:r>
        <w:rPr>
          <w:rFonts w:hint="eastAsia"/>
          <w:lang w:val="zh-CN"/>
        </w:rPr>
        <w:t>业务系统无法与财政中心服务正常连接的情况下，先开具纸质票据；业务系统与财政中心服务恢复正常连接之后，单位根据电子票据模板组装待签名原文，调用签名服务器进行单位签名，再进行补开电子票据。</w:t>
      </w:r>
    </w:p>
    <w:p w:rsidR="0049529D" w:rsidRDefault="00D902FD">
      <w:pPr>
        <w:pStyle w:val="5"/>
        <w:rPr>
          <w:color w:val="0000FF"/>
        </w:rPr>
      </w:pPr>
      <w:r>
        <w:rPr>
          <w:rFonts w:hint="eastAsia"/>
          <w:color w:val="0000FF"/>
        </w:rPr>
        <w:lastRenderedPageBreak/>
        <w:t>患者取票服务</w:t>
      </w:r>
    </w:p>
    <w:p w:rsidR="0049529D" w:rsidRDefault="00D902FD">
      <w:pPr>
        <w:pStyle w:val="af2"/>
        <w:ind w:firstLineChars="0" w:firstLine="420"/>
        <w:rPr>
          <w:color w:val="0000FF"/>
        </w:rPr>
      </w:pPr>
      <w:r>
        <w:rPr>
          <w:rFonts w:hint="eastAsia"/>
          <w:color w:val="0000FF"/>
        </w:rPr>
        <w:t>支持在</w:t>
      </w:r>
      <w:r>
        <w:rPr>
          <w:rFonts w:hint="eastAsia"/>
          <w:color w:val="0000FF"/>
        </w:rPr>
        <w:t>厦门市海</w:t>
      </w:r>
      <w:proofErr w:type="gramStart"/>
      <w:r>
        <w:rPr>
          <w:rFonts w:hint="eastAsia"/>
          <w:color w:val="0000FF"/>
        </w:rPr>
        <w:t>沧</w:t>
      </w:r>
      <w:proofErr w:type="gramEnd"/>
      <w:r>
        <w:rPr>
          <w:rFonts w:hint="eastAsia"/>
          <w:color w:val="0000FF"/>
        </w:rPr>
        <w:t>医院</w:t>
      </w:r>
      <w:r>
        <w:rPr>
          <w:rFonts w:hint="eastAsia"/>
          <w:color w:val="0000FF"/>
        </w:rPr>
        <w:t>公众号</w:t>
      </w:r>
      <w:r>
        <w:rPr>
          <w:rFonts w:hint="eastAsia"/>
          <w:color w:val="0000FF"/>
        </w:rPr>
        <w:t>门户网站</w:t>
      </w:r>
      <w:r>
        <w:rPr>
          <w:rFonts w:hint="eastAsia"/>
          <w:color w:val="0000FF"/>
        </w:rPr>
        <w:t>查看电子票据及票据明细，患者也可以在公众号</w:t>
      </w:r>
      <w:r>
        <w:rPr>
          <w:rFonts w:hint="eastAsia"/>
          <w:color w:val="0000FF"/>
        </w:rPr>
        <w:t>/</w:t>
      </w:r>
      <w:r>
        <w:rPr>
          <w:rFonts w:hint="eastAsia"/>
          <w:color w:val="0000FF"/>
        </w:rPr>
        <w:t>门户网站</w:t>
      </w:r>
      <w:r>
        <w:rPr>
          <w:rFonts w:hint="eastAsia"/>
          <w:color w:val="0000FF"/>
        </w:rPr>
        <w:t>下载票据文件。</w:t>
      </w:r>
    </w:p>
    <w:p w:rsidR="0049529D" w:rsidRDefault="00D902FD">
      <w:pPr>
        <w:pStyle w:val="5"/>
        <w:rPr>
          <w:color w:val="0000FF"/>
        </w:rPr>
      </w:pPr>
      <w:r>
        <w:rPr>
          <w:rFonts w:hint="eastAsia"/>
          <w:color w:val="0000FF"/>
        </w:rPr>
        <w:t>电子票据</w:t>
      </w:r>
      <w:r>
        <w:rPr>
          <w:rFonts w:hint="eastAsia"/>
          <w:color w:val="0000FF"/>
        </w:rPr>
        <w:t>C</w:t>
      </w:r>
      <w:r>
        <w:rPr>
          <w:color w:val="0000FF"/>
        </w:rPr>
        <w:t>A</w:t>
      </w:r>
      <w:r>
        <w:rPr>
          <w:rFonts w:hint="eastAsia"/>
          <w:color w:val="0000FF"/>
        </w:rPr>
        <w:t>签名</w:t>
      </w:r>
    </w:p>
    <w:p w:rsidR="0049529D" w:rsidRDefault="00D902FD">
      <w:pPr>
        <w:pStyle w:val="af2"/>
        <w:ind w:firstLine="480"/>
        <w:rPr>
          <w:color w:val="0000FF"/>
        </w:rPr>
      </w:pPr>
      <w:r>
        <w:rPr>
          <w:rFonts w:hint="eastAsia"/>
          <w:color w:val="0000FF"/>
        </w:rPr>
        <w:t>对开具的电子票据支持通过院内集成平台进行</w:t>
      </w:r>
      <w:r>
        <w:rPr>
          <w:color w:val="0000FF"/>
        </w:rPr>
        <w:t>CA</w:t>
      </w:r>
      <w:r>
        <w:rPr>
          <w:rFonts w:hint="eastAsia"/>
          <w:color w:val="0000FF"/>
        </w:rPr>
        <w:t>签名，保障数据的保证其真实性、防篡改性、不可抵赖性。</w:t>
      </w:r>
    </w:p>
    <w:p w:rsidR="0049529D" w:rsidRDefault="00D902FD">
      <w:pPr>
        <w:pStyle w:val="5"/>
        <w:rPr>
          <w:color w:val="0000FF"/>
        </w:rPr>
      </w:pPr>
      <w:r>
        <w:rPr>
          <w:rFonts w:hint="eastAsia"/>
          <w:color w:val="0000FF"/>
        </w:rPr>
        <w:t>电子票据平台对外交互</w:t>
      </w:r>
    </w:p>
    <w:p w:rsidR="0049529D" w:rsidRDefault="00D902FD">
      <w:pPr>
        <w:pStyle w:val="af2"/>
        <w:ind w:firstLine="480"/>
        <w:rPr>
          <w:color w:val="0000FF"/>
        </w:rPr>
      </w:pPr>
      <w:r>
        <w:rPr>
          <w:rFonts w:hint="eastAsia"/>
          <w:color w:val="0000FF"/>
        </w:rPr>
        <w:t>电子票据平台前置机服务支持通过院内的平台与卫健委进项数据交互服务。遵循院内对服务数据交互的安全要求。</w:t>
      </w:r>
    </w:p>
    <w:p w:rsidR="0049529D" w:rsidRDefault="0049529D"/>
    <w:p w:rsidR="0049529D" w:rsidRDefault="00D902FD">
      <w:pPr>
        <w:pStyle w:val="4"/>
      </w:pPr>
      <w:bookmarkStart w:id="6" w:name="_Toc44652676"/>
      <w:r>
        <w:rPr>
          <w:rFonts w:hint="eastAsia"/>
        </w:rPr>
        <w:t>报表查询</w:t>
      </w:r>
      <w:bookmarkEnd w:id="6"/>
    </w:p>
    <w:p w:rsidR="0049529D" w:rsidRDefault="00D902FD">
      <w:pPr>
        <w:pStyle w:val="5"/>
      </w:pPr>
      <w:r>
        <w:rPr>
          <w:rFonts w:hint="eastAsia"/>
        </w:rPr>
        <w:t>电子票据明细查询</w:t>
      </w:r>
    </w:p>
    <w:p w:rsidR="0049529D" w:rsidRDefault="00D902FD">
      <w:pPr>
        <w:pStyle w:val="af2"/>
        <w:ind w:firstLine="480"/>
        <w:rPr>
          <w:lang w:val="zh-CN"/>
        </w:rPr>
      </w:pPr>
      <w:r>
        <w:rPr>
          <w:rFonts w:hint="eastAsia"/>
        </w:rPr>
        <w:t>主要用于单位或开票</w:t>
      </w:r>
      <w:proofErr w:type="gramStart"/>
      <w:r>
        <w:rPr>
          <w:rFonts w:hint="eastAsia"/>
        </w:rPr>
        <w:t>点用户</w:t>
      </w:r>
      <w:proofErr w:type="gramEnd"/>
      <w:r>
        <w:rPr>
          <w:rFonts w:hint="eastAsia"/>
        </w:rPr>
        <w:t>查看本机构的开票明细情况，医疗单位可按照开票点或业务日期筛选查看开票明细信息，包含患者姓名、业务标识、科室、交费渠道等详细信息；开票</w:t>
      </w:r>
      <w:proofErr w:type="gramStart"/>
      <w:r>
        <w:rPr>
          <w:rFonts w:hint="eastAsia"/>
        </w:rPr>
        <w:t>点用户</w:t>
      </w:r>
      <w:proofErr w:type="gramEnd"/>
      <w:r>
        <w:rPr>
          <w:rFonts w:hint="eastAsia"/>
        </w:rPr>
        <w:t>只能查看本开票点的开票明细信息</w:t>
      </w:r>
      <w:r>
        <w:rPr>
          <w:rFonts w:hint="eastAsia"/>
          <w:lang w:val="zh-CN"/>
        </w:rPr>
        <w:t>。</w:t>
      </w:r>
    </w:p>
    <w:p w:rsidR="0049529D" w:rsidRDefault="00D902FD">
      <w:pPr>
        <w:pStyle w:val="5"/>
      </w:pPr>
      <w:r>
        <w:rPr>
          <w:rFonts w:hint="eastAsia"/>
        </w:rPr>
        <w:t>纸质票据领用情况查询</w:t>
      </w:r>
    </w:p>
    <w:p w:rsidR="0049529D" w:rsidRDefault="00D902FD">
      <w:pPr>
        <w:pStyle w:val="af2"/>
        <w:ind w:firstLine="480"/>
        <w:rPr>
          <w:lang w:val="zh-CN"/>
        </w:rPr>
      </w:pPr>
      <w:r>
        <w:rPr>
          <w:rFonts w:hint="eastAsia"/>
        </w:rPr>
        <w:t>主要用于医疗单位查看本机构及下属机构各纸质票据种类某个时间区间的期初库存、申领、使用及库存情况</w:t>
      </w:r>
      <w:r>
        <w:rPr>
          <w:rFonts w:hint="eastAsia"/>
          <w:lang w:val="zh-CN"/>
        </w:rPr>
        <w:t>。</w:t>
      </w:r>
    </w:p>
    <w:p w:rsidR="0049529D" w:rsidRDefault="00D902FD">
      <w:pPr>
        <w:pStyle w:val="5"/>
      </w:pPr>
      <w:r>
        <w:rPr>
          <w:rFonts w:hint="eastAsia"/>
        </w:rPr>
        <w:t>电子票据汇总查询</w:t>
      </w:r>
    </w:p>
    <w:p w:rsidR="0049529D" w:rsidRDefault="00D902FD">
      <w:pPr>
        <w:pStyle w:val="af2"/>
        <w:ind w:firstLine="480"/>
      </w:pPr>
      <w:r>
        <w:rPr>
          <w:rFonts w:hint="eastAsia"/>
        </w:rPr>
        <w:t>主要用于按照收费员、业务类别统计汇总各票据种类收费情况（按照缴款渠道分别统计）和开票数量（开票份数和冲红份数）；</w:t>
      </w:r>
    </w:p>
    <w:p w:rsidR="0049529D" w:rsidRDefault="00D902FD">
      <w:pPr>
        <w:pStyle w:val="af2"/>
        <w:ind w:firstLine="480"/>
        <w:rPr>
          <w:lang w:val="zh-CN"/>
        </w:rPr>
      </w:pPr>
      <w:r>
        <w:rPr>
          <w:rFonts w:hint="eastAsia"/>
        </w:rPr>
        <w:t>医疗单位用户可按照业务类别或业务日期筛选查看本单位或本单位下各开</w:t>
      </w:r>
      <w:r>
        <w:rPr>
          <w:rFonts w:hint="eastAsia"/>
        </w:rPr>
        <w:lastRenderedPageBreak/>
        <w:t>票点的开票汇总信息；开票</w:t>
      </w:r>
      <w:proofErr w:type="gramStart"/>
      <w:r>
        <w:rPr>
          <w:rFonts w:hint="eastAsia"/>
        </w:rPr>
        <w:t>点用户</w:t>
      </w:r>
      <w:proofErr w:type="gramEnd"/>
      <w:r>
        <w:rPr>
          <w:rFonts w:hint="eastAsia"/>
        </w:rPr>
        <w:t>只能查看本开票点的开票汇总信息</w:t>
      </w:r>
      <w:r>
        <w:rPr>
          <w:rFonts w:hint="eastAsia"/>
          <w:lang w:val="zh-CN"/>
        </w:rPr>
        <w:t>。</w:t>
      </w:r>
    </w:p>
    <w:p w:rsidR="0049529D" w:rsidRDefault="00D902FD">
      <w:pPr>
        <w:pStyle w:val="4"/>
      </w:pPr>
      <w:bookmarkStart w:id="7" w:name="_Toc44652677"/>
      <w:r>
        <w:rPr>
          <w:rFonts w:hint="eastAsia"/>
        </w:rPr>
        <w:t>基础信息维护</w:t>
      </w:r>
      <w:bookmarkEnd w:id="7"/>
    </w:p>
    <w:p w:rsidR="0049529D" w:rsidRDefault="00D902FD">
      <w:pPr>
        <w:pStyle w:val="5"/>
      </w:pPr>
      <w:r>
        <w:rPr>
          <w:rFonts w:hint="eastAsia"/>
        </w:rPr>
        <w:t>开票点管理</w:t>
      </w:r>
    </w:p>
    <w:p w:rsidR="0049529D" w:rsidRDefault="00D902FD">
      <w:pPr>
        <w:pStyle w:val="af2"/>
        <w:ind w:firstLine="480"/>
      </w:pPr>
      <w:r>
        <w:rPr>
          <w:rFonts w:cs="宋体" w:hint="eastAsia"/>
          <w:color w:val="000000"/>
        </w:rPr>
        <w:t>要求</w:t>
      </w:r>
      <w:r>
        <w:rPr>
          <w:rFonts w:hint="eastAsia"/>
        </w:rPr>
        <w:t>可根据医院实际业务情况，在系统中进行开票点创建。</w:t>
      </w:r>
    </w:p>
    <w:p w:rsidR="0049529D" w:rsidRDefault="00D902FD">
      <w:pPr>
        <w:pStyle w:val="5"/>
      </w:pPr>
      <w:r>
        <w:rPr>
          <w:rFonts w:hint="eastAsia"/>
        </w:rPr>
        <w:t>证书管理</w:t>
      </w:r>
    </w:p>
    <w:p w:rsidR="0049529D" w:rsidRDefault="00D902FD">
      <w:pPr>
        <w:pStyle w:val="af2"/>
        <w:ind w:firstLine="480"/>
      </w:pPr>
      <w:r>
        <w:rPr>
          <w:rFonts w:cs="宋体" w:hint="eastAsia"/>
          <w:color w:val="000000"/>
        </w:rPr>
        <w:t>要求</w:t>
      </w:r>
      <w:r>
        <w:rPr>
          <w:rFonts w:hint="eastAsia"/>
        </w:rPr>
        <w:t>在开具票据时需使用医院相应的证书进行签名，管理人员可以在此功能模块对单位证书进行管理维护。</w:t>
      </w:r>
    </w:p>
    <w:p w:rsidR="0049529D" w:rsidRDefault="00D902FD">
      <w:pPr>
        <w:pStyle w:val="5"/>
      </w:pPr>
      <w:r>
        <w:rPr>
          <w:rFonts w:hint="eastAsia"/>
        </w:rPr>
        <w:t>单位信息管理</w:t>
      </w:r>
    </w:p>
    <w:p w:rsidR="0049529D" w:rsidRDefault="00D902FD">
      <w:pPr>
        <w:pStyle w:val="af2"/>
        <w:ind w:firstLine="480"/>
      </w:pPr>
      <w:r>
        <w:t>单位信息</w:t>
      </w:r>
      <w:r>
        <w:rPr>
          <w:rFonts w:hint="eastAsia"/>
        </w:rPr>
        <w:t>是</w:t>
      </w:r>
      <w:r>
        <w:t>由上级财政</w:t>
      </w:r>
      <w:r>
        <w:rPr>
          <w:rFonts w:hint="eastAsia"/>
        </w:rPr>
        <w:t>中心</w:t>
      </w:r>
      <w:r>
        <w:t>配置，</w:t>
      </w:r>
      <w:r>
        <w:rPr>
          <w:rFonts w:hint="eastAsia"/>
        </w:rPr>
        <w:t>系统管理员</w:t>
      </w:r>
      <w:r>
        <w:t>定时从上级财政同步，</w:t>
      </w:r>
      <w:r>
        <w:rPr>
          <w:rFonts w:hint="eastAsia"/>
        </w:rPr>
        <w:t>供医疗单位</w:t>
      </w:r>
      <w:r>
        <w:rPr>
          <w:rFonts w:hint="eastAsia"/>
        </w:rPr>
        <w:t>查询单位信息，单位信息包含单位编码、单位名称、联系人、开票控制等。</w:t>
      </w:r>
    </w:p>
    <w:p w:rsidR="0049529D" w:rsidRDefault="00D902FD">
      <w:pPr>
        <w:pStyle w:val="5"/>
      </w:pPr>
      <w:r>
        <w:rPr>
          <w:rFonts w:hint="eastAsia"/>
        </w:rPr>
        <w:t>开票人员管理</w:t>
      </w:r>
    </w:p>
    <w:p w:rsidR="0049529D" w:rsidRDefault="00D902FD">
      <w:pPr>
        <w:pStyle w:val="af2"/>
        <w:ind w:firstLine="480"/>
      </w:pPr>
      <w:r>
        <w:rPr>
          <w:rFonts w:hint="eastAsia"/>
        </w:rPr>
        <w:t>医院根据自己实际业务情况，在</w:t>
      </w:r>
      <w:r>
        <w:t>医疗电子票据平台</w:t>
      </w:r>
      <w:r>
        <w:rPr>
          <w:rFonts w:hint="eastAsia"/>
        </w:rPr>
        <w:t>中维护</w:t>
      </w:r>
      <w:r>
        <w:rPr>
          <w:rFonts w:hint="eastAsia"/>
        </w:rPr>
        <w:t>HIS</w:t>
      </w:r>
      <w:r>
        <w:rPr>
          <w:rFonts w:hint="eastAsia"/>
        </w:rPr>
        <w:t>系统中对应的收费员信息，并与医疗</w:t>
      </w:r>
      <w:r>
        <w:t>电子票据</w:t>
      </w:r>
      <w:r>
        <w:rPr>
          <w:rFonts w:hint="eastAsia"/>
        </w:rPr>
        <w:t>平台中</w:t>
      </w:r>
      <w:proofErr w:type="gramStart"/>
      <w:r>
        <w:rPr>
          <w:rFonts w:hint="eastAsia"/>
        </w:rPr>
        <w:t>已维护</w:t>
      </w:r>
      <w:proofErr w:type="gramEnd"/>
      <w:r>
        <w:rPr>
          <w:rFonts w:hint="eastAsia"/>
        </w:rPr>
        <w:t>的用户信息进行绑定。便于</w:t>
      </w:r>
      <w:r>
        <w:t>医疗电子票据</w:t>
      </w:r>
      <w:r>
        <w:rPr>
          <w:rFonts w:hint="eastAsia"/>
        </w:rPr>
        <w:t>系统按照收费员信息统计查看医疗电子票据管理平台相关报表数据。</w:t>
      </w:r>
    </w:p>
    <w:p w:rsidR="0049529D" w:rsidRDefault="00D902FD">
      <w:pPr>
        <w:pStyle w:val="5"/>
      </w:pPr>
      <w:r>
        <w:rPr>
          <w:rFonts w:hint="eastAsia"/>
        </w:rPr>
        <w:t>票据管理</w:t>
      </w:r>
    </w:p>
    <w:p w:rsidR="0049529D" w:rsidRDefault="00D902FD">
      <w:pPr>
        <w:pStyle w:val="af2"/>
        <w:ind w:firstLine="480"/>
      </w:pPr>
      <w:r>
        <w:rPr>
          <w:rFonts w:cs="宋体" w:hint="eastAsia"/>
          <w:color w:val="000000"/>
        </w:rPr>
        <w:t>要求</w:t>
      </w:r>
      <w:r>
        <w:t>可用票据信息由上级财政配置，</w:t>
      </w:r>
      <w:r>
        <w:rPr>
          <w:rFonts w:hint="eastAsia"/>
        </w:rPr>
        <w:t>医院</w:t>
      </w:r>
      <w:r>
        <w:t>定时从上级财政同步，</w:t>
      </w:r>
      <w:r>
        <w:rPr>
          <w:rFonts w:hint="eastAsia"/>
        </w:rPr>
        <w:t>供医疗单位查询单位可用票据的信息，包含票据代码、票据名称、开票方式、生效时间、失效时间、保存年限等。</w:t>
      </w:r>
    </w:p>
    <w:p w:rsidR="0049529D" w:rsidRDefault="00D902FD">
      <w:pPr>
        <w:pStyle w:val="3"/>
      </w:pPr>
      <w:r>
        <w:rPr>
          <w:rFonts w:hint="eastAsia"/>
        </w:rPr>
        <w:lastRenderedPageBreak/>
        <w:t>合同包二（</w:t>
      </w:r>
      <w:r>
        <w:rPr>
          <w:rFonts w:hint="eastAsia"/>
        </w:rPr>
        <w:t>HIS</w:t>
      </w:r>
      <w:r>
        <w:rPr>
          <w:rFonts w:hint="eastAsia"/>
        </w:rPr>
        <w:t>系统电子票据集成改造）</w:t>
      </w:r>
    </w:p>
    <w:p w:rsidR="0049529D" w:rsidRDefault="00D902FD">
      <w:pPr>
        <w:pStyle w:val="4"/>
      </w:pPr>
      <w:r>
        <w:rPr>
          <w:rFonts w:hint="eastAsia"/>
        </w:rPr>
        <w:t>发票分类维护</w:t>
      </w:r>
    </w:p>
    <w:p w:rsidR="0049529D" w:rsidRDefault="00D902FD">
      <w:pPr>
        <w:pStyle w:val="af2"/>
        <w:ind w:firstLine="480"/>
      </w:pPr>
      <w:r>
        <w:rPr>
          <w:rFonts w:cs="宋体" w:hint="eastAsia"/>
          <w:color w:val="000000"/>
        </w:rPr>
        <w:t>要求</w:t>
      </w:r>
      <w:r>
        <w:rPr>
          <w:rFonts w:hint="eastAsia"/>
        </w:rPr>
        <w:t>HIS</w:t>
      </w:r>
      <w:r>
        <w:rPr>
          <w:rFonts w:hint="eastAsia"/>
        </w:rPr>
        <w:t>系统按照本单位的各业务类别分别维护相应业务发生时所需开具的票据种类信息。当</w:t>
      </w:r>
      <w:r>
        <w:rPr>
          <w:rFonts w:hint="eastAsia"/>
        </w:rPr>
        <w:t>HIS</w:t>
      </w:r>
      <w:r>
        <w:rPr>
          <w:rFonts w:hint="eastAsia"/>
        </w:rPr>
        <w:t>系统调用医疗电子票据管理平台接口开具电子票据时，医疗电子票据管理平台将根据</w:t>
      </w:r>
      <w:r>
        <w:rPr>
          <w:rFonts w:hint="eastAsia"/>
        </w:rPr>
        <w:t>HIS</w:t>
      </w:r>
      <w:r>
        <w:rPr>
          <w:rFonts w:hint="eastAsia"/>
        </w:rPr>
        <w:t>系统发送的业务标识来自动判断本次应开具的票据种类信息。</w:t>
      </w:r>
    </w:p>
    <w:p w:rsidR="0049529D" w:rsidRDefault="00D902FD">
      <w:pPr>
        <w:pStyle w:val="4"/>
      </w:pPr>
      <w:r>
        <w:rPr>
          <w:rFonts w:hint="eastAsia"/>
        </w:rPr>
        <w:t>编码对照</w:t>
      </w:r>
    </w:p>
    <w:p w:rsidR="0049529D" w:rsidRDefault="00D902FD">
      <w:pPr>
        <w:pStyle w:val="af2"/>
        <w:ind w:firstLine="480"/>
      </w:pPr>
      <w:r>
        <w:rPr>
          <w:rFonts w:hint="eastAsia"/>
        </w:rPr>
        <w:t>HIS</w:t>
      </w:r>
      <w:r>
        <w:rPr>
          <w:rFonts w:hint="eastAsia"/>
        </w:rPr>
        <w:t>系统与医疗票据平台对接的外部系统，所使用的编码规则未采用财政统一编码时，医疗单位需根据实际业务情况，将</w:t>
      </w:r>
      <w:proofErr w:type="gramStart"/>
      <w:r>
        <w:rPr>
          <w:rFonts w:hint="eastAsia"/>
        </w:rPr>
        <w:t>本医疗</w:t>
      </w:r>
      <w:proofErr w:type="gramEnd"/>
      <w:r>
        <w:rPr>
          <w:rFonts w:hint="eastAsia"/>
        </w:rPr>
        <w:t>电子票据管理平台的基础信息与外部系统转入的基础信息进行编码对照。</w:t>
      </w:r>
    </w:p>
    <w:p w:rsidR="0049529D" w:rsidRDefault="00D902FD">
      <w:pPr>
        <w:pStyle w:val="4"/>
      </w:pPr>
      <w:r>
        <w:rPr>
          <w:rFonts w:hint="eastAsia"/>
        </w:rPr>
        <w:t>电子票据领用</w:t>
      </w:r>
    </w:p>
    <w:p w:rsidR="0049529D" w:rsidRDefault="00D902FD">
      <w:pPr>
        <w:pStyle w:val="af2"/>
        <w:ind w:firstLine="480"/>
      </w:pPr>
      <w:r>
        <w:rPr>
          <w:rFonts w:hint="eastAsia"/>
        </w:rPr>
        <w:t>电子票号发放为</w:t>
      </w:r>
      <w:r>
        <w:rPr>
          <w:rFonts w:hint="eastAsia"/>
        </w:rPr>
        <w:t>HIS</w:t>
      </w:r>
      <w:r>
        <w:rPr>
          <w:rFonts w:hint="eastAsia"/>
        </w:rPr>
        <w:t>系统将电子票据号码领用到各收费员和自助开票点，使其拥有独立的开</w:t>
      </w:r>
      <w:r>
        <w:rPr>
          <w:rFonts w:hint="eastAsia"/>
        </w:rPr>
        <w:t>票号段。</w:t>
      </w:r>
    </w:p>
    <w:p w:rsidR="0049529D" w:rsidRDefault="00D902FD">
      <w:pPr>
        <w:pStyle w:val="4"/>
      </w:pPr>
      <w:r>
        <w:rPr>
          <w:rFonts w:hint="eastAsia"/>
        </w:rPr>
        <w:t>纸质票据领用</w:t>
      </w:r>
    </w:p>
    <w:p w:rsidR="0049529D" w:rsidRDefault="00D902FD">
      <w:pPr>
        <w:pStyle w:val="af2"/>
        <w:ind w:firstLine="480"/>
      </w:pPr>
      <w:r>
        <w:rPr>
          <w:rFonts w:hint="eastAsia"/>
        </w:rPr>
        <w:t>医疗单位票据管理员收到向财政申领的纸质票据后，需要在系统操作入库确认，将纸质票据在系统完成入库。</w:t>
      </w:r>
      <w:r>
        <w:rPr>
          <w:rFonts w:hint="eastAsia"/>
        </w:rPr>
        <w:t>HIS</w:t>
      </w:r>
      <w:r>
        <w:rPr>
          <w:rFonts w:hint="eastAsia"/>
        </w:rPr>
        <w:t>系统再将纸质票据发放到各收费员和自助开票点。</w:t>
      </w:r>
    </w:p>
    <w:p w:rsidR="0049529D" w:rsidRDefault="00D902FD">
      <w:pPr>
        <w:pStyle w:val="4"/>
      </w:pPr>
      <w:r>
        <w:rPr>
          <w:rFonts w:hint="eastAsia"/>
        </w:rPr>
        <w:t>门诊</w:t>
      </w:r>
      <w:r>
        <w:rPr>
          <w:rFonts w:hint="eastAsia"/>
        </w:rPr>
        <w:t>（含体检）</w:t>
      </w:r>
      <w:r>
        <w:rPr>
          <w:rFonts w:hint="eastAsia"/>
        </w:rPr>
        <w:t>结算开具电子票据</w:t>
      </w:r>
    </w:p>
    <w:p w:rsidR="0049529D" w:rsidRDefault="00D902FD">
      <w:pPr>
        <w:pStyle w:val="af2"/>
        <w:ind w:firstLine="480"/>
      </w:pPr>
      <w:r>
        <w:rPr>
          <w:rFonts w:hint="eastAsia"/>
        </w:rPr>
        <w:t>门诊病人在收费窗口发生结算业务时，由医院门诊收费系统调用医疗票据平台的接口开具电子票据。</w:t>
      </w:r>
    </w:p>
    <w:p w:rsidR="0049529D" w:rsidRDefault="00D902FD">
      <w:pPr>
        <w:pStyle w:val="4"/>
      </w:pPr>
      <w:r>
        <w:rPr>
          <w:rFonts w:hint="eastAsia"/>
        </w:rPr>
        <w:lastRenderedPageBreak/>
        <w:t>住院结算开具电子票据</w:t>
      </w:r>
    </w:p>
    <w:p w:rsidR="0049529D" w:rsidRDefault="00D902FD">
      <w:pPr>
        <w:pStyle w:val="af2"/>
        <w:ind w:firstLine="480"/>
      </w:pPr>
      <w:r>
        <w:rPr>
          <w:rFonts w:hint="eastAsia"/>
        </w:rPr>
        <w:t>住院病人在收费窗口发生结算业务时，由医院住院收费系统调用医疗票据平台的接口开具电子票据。</w:t>
      </w:r>
    </w:p>
    <w:p w:rsidR="0049529D" w:rsidRDefault="00D902FD">
      <w:pPr>
        <w:pStyle w:val="4"/>
      </w:pPr>
      <w:r>
        <w:rPr>
          <w:rFonts w:hint="eastAsia"/>
        </w:rPr>
        <w:t>冲销电子票据</w:t>
      </w:r>
    </w:p>
    <w:p w:rsidR="0049529D" w:rsidRDefault="00D902FD">
      <w:pPr>
        <w:pStyle w:val="af2"/>
        <w:ind w:firstLine="480"/>
      </w:pPr>
      <w:r>
        <w:rPr>
          <w:rFonts w:hint="eastAsia"/>
        </w:rPr>
        <w:t>当门诊或者住院病人发生退费业务时，收费窗口需要对已开具的电子票据进行冲红。具体存在以下两种情况：</w:t>
      </w:r>
    </w:p>
    <w:p w:rsidR="0049529D" w:rsidRDefault="00D902FD">
      <w:pPr>
        <w:pStyle w:val="af2"/>
        <w:ind w:firstLine="480"/>
      </w:pPr>
      <w:r>
        <w:rPr>
          <w:rFonts w:hint="eastAsia"/>
        </w:rPr>
        <w:t>（</w:t>
      </w:r>
      <w:r>
        <w:rPr>
          <w:rFonts w:hint="eastAsia"/>
        </w:rPr>
        <w:t>1</w:t>
      </w:r>
      <w:r>
        <w:rPr>
          <w:rFonts w:hint="eastAsia"/>
        </w:rPr>
        <w:t>）电子票据未生成对应的纸质票据，只冲红对应电子票据。</w:t>
      </w:r>
    </w:p>
    <w:p w:rsidR="0049529D" w:rsidRDefault="00D902FD">
      <w:pPr>
        <w:pStyle w:val="af2"/>
        <w:ind w:firstLine="480"/>
      </w:pPr>
      <w:r>
        <w:rPr>
          <w:rFonts w:hint="eastAsia"/>
        </w:rPr>
        <w:t>（</w:t>
      </w:r>
      <w:r>
        <w:rPr>
          <w:rFonts w:hint="eastAsia"/>
        </w:rPr>
        <w:t>2</w:t>
      </w:r>
      <w:r>
        <w:rPr>
          <w:rFonts w:hint="eastAsia"/>
        </w:rPr>
        <w:t>）电子票据已生成对应的纸质票据，应先作废或者冲销对应的纸质票据，再冲红对应的电子票据。</w:t>
      </w:r>
    </w:p>
    <w:p w:rsidR="0049529D" w:rsidRDefault="00D902FD">
      <w:pPr>
        <w:pStyle w:val="4"/>
      </w:pPr>
      <w:r>
        <w:rPr>
          <w:rFonts w:hint="eastAsia"/>
        </w:rPr>
        <w:t>票据打印</w:t>
      </w:r>
    </w:p>
    <w:p w:rsidR="0049529D" w:rsidRDefault="00D902FD">
      <w:pPr>
        <w:pStyle w:val="af2"/>
        <w:ind w:firstLine="480"/>
      </w:pPr>
      <w:r>
        <w:rPr>
          <w:rFonts w:hint="eastAsia"/>
        </w:rPr>
        <w:t>已开具的电子票据，可根据受票人需要，</w:t>
      </w:r>
      <w:proofErr w:type="gramStart"/>
      <w:r>
        <w:rPr>
          <w:rFonts w:hint="eastAsia"/>
        </w:rPr>
        <w:t>持电子</w:t>
      </w:r>
      <w:proofErr w:type="gramEnd"/>
      <w:r>
        <w:rPr>
          <w:rFonts w:hint="eastAsia"/>
        </w:rPr>
        <w:t>票到医院收费窗口将电子票据打印为财政纸质票据。</w:t>
      </w:r>
    </w:p>
    <w:p w:rsidR="0049529D" w:rsidRDefault="00D902FD">
      <w:pPr>
        <w:pStyle w:val="4"/>
      </w:pPr>
      <w:r>
        <w:rPr>
          <w:rFonts w:hint="eastAsia"/>
        </w:rPr>
        <w:t>开票号码查询</w:t>
      </w:r>
    </w:p>
    <w:p w:rsidR="0049529D" w:rsidRDefault="00D902FD">
      <w:pPr>
        <w:pStyle w:val="af2"/>
        <w:ind w:firstLine="480"/>
      </w:pPr>
      <w:r>
        <w:rPr>
          <w:rFonts w:hint="eastAsia"/>
        </w:rPr>
        <w:t>系统针对已经开具的电子票据，按照业务发生时间、票据种类进行分类整理，系统可按照年份、月度查看该时间段的票据信息</w:t>
      </w:r>
    </w:p>
    <w:p w:rsidR="0049529D" w:rsidRDefault="00D902FD">
      <w:pPr>
        <w:pStyle w:val="4"/>
      </w:pPr>
      <w:r>
        <w:rPr>
          <w:rFonts w:hint="eastAsia"/>
        </w:rPr>
        <w:t>票据使用情况查询</w:t>
      </w:r>
    </w:p>
    <w:p w:rsidR="0049529D" w:rsidRDefault="00D902FD">
      <w:pPr>
        <w:pStyle w:val="af2"/>
        <w:ind w:firstLine="480"/>
      </w:pPr>
      <w:r>
        <w:rPr>
          <w:rFonts w:hint="eastAsia"/>
        </w:rPr>
        <w:t>该表用于查询开票点在</w:t>
      </w:r>
      <w:r>
        <w:rPr>
          <w:rFonts w:hint="eastAsia"/>
        </w:rPr>
        <w:t>筛选时间的各票据种类开票情况，包含：开票分数、作废份数、空白作废份数等数据。</w:t>
      </w:r>
    </w:p>
    <w:p w:rsidR="0049529D" w:rsidRDefault="00D902FD">
      <w:pPr>
        <w:pStyle w:val="4"/>
      </w:pPr>
      <w:r>
        <w:rPr>
          <w:rFonts w:hint="eastAsia"/>
        </w:rPr>
        <w:t>票据领入情况查询</w:t>
      </w:r>
    </w:p>
    <w:p w:rsidR="0049529D" w:rsidRDefault="00D902FD">
      <w:pPr>
        <w:pStyle w:val="af2"/>
        <w:ind w:firstLine="480"/>
      </w:pPr>
      <w:r>
        <w:rPr>
          <w:rFonts w:hint="eastAsia"/>
        </w:rPr>
        <w:t>该表用于医疗单位查看本机构及下级机构各票据种类某个时间区间的领用明细。</w:t>
      </w:r>
    </w:p>
    <w:p w:rsidR="0049529D" w:rsidRDefault="00D902FD">
      <w:pPr>
        <w:pStyle w:val="4"/>
      </w:pPr>
      <w:r>
        <w:rPr>
          <w:rFonts w:hint="eastAsia"/>
        </w:rPr>
        <w:lastRenderedPageBreak/>
        <w:t>查询与统计</w:t>
      </w:r>
    </w:p>
    <w:p w:rsidR="0049529D" w:rsidRDefault="00D902FD">
      <w:pPr>
        <w:pStyle w:val="af2"/>
        <w:ind w:firstLine="480"/>
      </w:pPr>
      <w:r>
        <w:rPr>
          <w:rFonts w:hint="eastAsia"/>
        </w:rPr>
        <w:t>其他电子票据相关信息的查询与统计。</w:t>
      </w:r>
    </w:p>
    <w:p w:rsidR="0049529D" w:rsidRDefault="00D902FD">
      <w:pPr>
        <w:pStyle w:val="10"/>
      </w:pPr>
      <w:r>
        <w:rPr>
          <w:rFonts w:hint="eastAsia"/>
        </w:rPr>
        <w:t>售后服务要求（合同包一、合同包二）</w:t>
      </w:r>
    </w:p>
    <w:p w:rsidR="0049529D" w:rsidRDefault="00D902FD">
      <w:pPr>
        <w:pStyle w:val="2"/>
        <w:numPr>
          <w:ilvl w:val="0"/>
          <w:numId w:val="6"/>
        </w:numPr>
        <w:spacing w:line="408" w:lineRule="auto"/>
      </w:pPr>
      <w:r>
        <w:rPr>
          <w:rFonts w:hint="eastAsia"/>
          <w:b w:val="0"/>
          <w:bCs w:val="0"/>
        </w:rPr>
        <w:t>项目实施</w:t>
      </w:r>
    </w:p>
    <w:p w:rsidR="0049529D" w:rsidRDefault="00D902FD">
      <w:pPr>
        <w:numPr>
          <w:ilvl w:val="0"/>
          <w:numId w:val="7"/>
        </w:numPr>
        <w:spacing w:line="360" w:lineRule="auto"/>
        <w:rPr>
          <w:rFonts w:ascii="宋体" w:hAnsi="宋体"/>
          <w:sz w:val="24"/>
        </w:rPr>
      </w:pPr>
      <w:bookmarkStart w:id="8" w:name="_Toc332805983"/>
      <w:r>
        <w:rPr>
          <w:rFonts w:ascii="宋体" w:hAnsi="宋体" w:hint="eastAsia"/>
          <w:sz w:val="24"/>
        </w:rPr>
        <w:t>要求投标人针对本次项目组建项目实施团队，并要求在项目实施期间到现场进行项目实施；</w:t>
      </w:r>
    </w:p>
    <w:p w:rsidR="0049529D" w:rsidRDefault="00D902FD">
      <w:pPr>
        <w:numPr>
          <w:ilvl w:val="0"/>
          <w:numId w:val="7"/>
        </w:numPr>
        <w:spacing w:line="360" w:lineRule="auto"/>
        <w:rPr>
          <w:rFonts w:ascii="宋体" w:hAnsi="宋体"/>
          <w:sz w:val="24"/>
        </w:rPr>
      </w:pPr>
      <w:r>
        <w:rPr>
          <w:rFonts w:ascii="宋体" w:hAnsi="宋体" w:hint="eastAsia"/>
          <w:sz w:val="24"/>
        </w:rPr>
        <w:t>要求投标人必须在合同签订并生效后</w:t>
      </w:r>
      <w:r>
        <w:rPr>
          <w:rFonts w:ascii="宋体" w:hAnsi="宋体" w:hint="eastAsia"/>
          <w:sz w:val="24"/>
        </w:rPr>
        <w:t>10</w:t>
      </w:r>
      <w:r>
        <w:rPr>
          <w:rFonts w:ascii="宋体" w:hAnsi="宋体" w:hint="eastAsia"/>
          <w:sz w:val="24"/>
        </w:rPr>
        <w:t>个工作日内启动项目实施工作，并</w:t>
      </w:r>
      <w:r>
        <w:rPr>
          <w:rFonts w:ascii="宋体" w:hAnsi="宋体"/>
          <w:sz w:val="24"/>
        </w:rPr>
        <w:t>9</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hint="eastAsia"/>
          <w:sz w:val="24"/>
        </w:rPr>
        <w:t>前</w:t>
      </w:r>
      <w:r>
        <w:rPr>
          <w:rFonts w:ascii="宋体" w:hAnsi="宋体" w:hint="eastAsia"/>
          <w:sz w:val="24"/>
        </w:rPr>
        <w:t>内完成整个项目实施工作</w:t>
      </w:r>
      <w:bookmarkEnd w:id="8"/>
      <w:r>
        <w:rPr>
          <w:rFonts w:ascii="宋体" w:hAnsi="宋体" w:hint="eastAsia"/>
          <w:sz w:val="24"/>
        </w:rPr>
        <w:t>；</w:t>
      </w:r>
    </w:p>
    <w:p w:rsidR="0049529D" w:rsidRDefault="00D902FD">
      <w:pPr>
        <w:pStyle w:val="2"/>
        <w:numPr>
          <w:ilvl w:val="0"/>
          <w:numId w:val="6"/>
        </w:numPr>
        <w:spacing w:line="408" w:lineRule="auto"/>
      </w:pPr>
      <w:r>
        <w:rPr>
          <w:rFonts w:hint="eastAsia"/>
          <w:b w:val="0"/>
          <w:bCs w:val="0"/>
        </w:rPr>
        <w:t>项目培训</w:t>
      </w:r>
    </w:p>
    <w:p w:rsidR="0049529D" w:rsidRDefault="00D902FD">
      <w:pPr>
        <w:numPr>
          <w:ilvl w:val="0"/>
          <w:numId w:val="8"/>
        </w:numPr>
        <w:spacing w:line="360" w:lineRule="auto"/>
        <w:rPr>
          <w:rFonts w:ascii="宋体" w:hAnsi="宋体"/>
          <w:sz w:val="24"/>
        </w:rPr>
      </w:pPr>
      <w:r>
        <w:rPr>
          <w:rFonts w:ascii="宋体" w:hAnsi="宋体" w:hint="eastAsia"/>
          <w:sz w:val="24"/>
        </w:rPr>
        <w:t>要求投标人必须根据项目建设内容，提出详细的培训计划、培</w:t>
      </w:r>
      <w:r>
        <w:rPr>
          <w:rFonts w:ascii="宋体" w:hAnsi="宋体" w:hint="eastAsia"/>
          <w:sz w:val="24"/>
        </w:rPr>
        <w:t>训课程内容（所有费用含在项目报价中），并针对不同角色进行有针对性的培训；</w:t>
      </w:r>
    </w:p>
    <w:p w:rsidR="0049529D" w:rsidRDefault="00D902FD">
      <w:pPr>
        <w:numPr>
          <w:ilvl w:val="0"/>
          <w:numId w:val="8"/>
        </w:numPr>
        <w:spacing w:line="360" w:lineRule="auto"/>
        <w:rPr>
          <w:rFonts w:ascii="宋体" w:hAnsi="宋体"/>
          <w:sz w:val="24"/>
        </w:rPr>
      </w:pPr>
      <w:r>
        <w:rPr>
          <w:rFonts w:ascii="宋体" w:hAnsi="宋体" w:hint="eastAsia"/>
          <w:sz w:val="24"/>
        </w:rPr>
        <w:t>要求投标人必须提供专业的培训团队，确保整个项目培训工作的顺利进行。</w:t>
      </w:r>
    </w:p>
    <w:p w:rsidR="0049529D" w:rsidRDefault="00D902FD">
      <w:pPr>
        <w:pStyle w:val="2"/>
        <w:numPr>
          <w:ilvl w:val="0"/>
          <w:numId w:val="6"/>
        </w:numPr>
        <w:spacing w:line="408" w:lineRule="auto"/>
        <w:rPr>
          <w:b w:val="0"/>
          <w:bCs w:val="0"/>
        </w:rPr>
      </w:pPr>
      <w:r>
        <w:rPr>
          <w:rFonts w:hint="eastAsia"/>
          <w:b w:val="0"/>
          <w:bCs w:val="0"/>
        </w:rPr>
        <w:t>售后服务</w:t>
      </w:r>
    </w:p>
    <w:p w:rsidR="0049529D" w:rsidRDefault="00D902FD">
      <w:pPr>
        <w:numPr>
          <w:ilvl w:val="0"/>
          <w:numId w:val="9"/>
        </w:numPr>
        <w:spacing w:line="360" w:lineRule="auto"/>
        <w:rPr>
          <w:rFonts w:ascii="宋体" w:hAnsi="宋体"/>
          <w:color w:val="FF0000"/>
          <w:sz w:val="24"/>
        </w:rPr>
      </w:pPr>
      <w:bookmarkStart w:id="9" w:name="_Toc131308998"/>
      <w:bookmarkStart w:id="10" w:name="_Toc235593593"/>
      <w:r>
        <w:rPr>
          <w:rFonts w:ascii="Segoe UI Symbol" w:hAnsi="Segoe UI Symbol" w:cs="Segoe UI Symbol"/>
          <w:color w:val="FF0000"/>
          <w:kern w:val="0"/>
        </w:rPr>
        <w:t>★</w:t>
      </w:r>
      <w:r>
        <w:rPr>
          <w:rFonts w:ascii="宋体" w:hAnsi="宋体" w:hint="eastAsia"/>
          <w:color w:val="FF0000"/>
          <w:sz w:val="24"/>
        </w:rPr>
        <w:t>该项目为交钥匙工程，投标人</w:t>
      </w:r>
      <w:proofErr w:type="gramStart"/>
      <w:r>
        <w:rPr>
          <w:rFonts w:ascii="宋体" w:hAnsi="宋体" w:hint="eastAsia"/>
          <w:color w:val="FF0000"/>
          <w:sz w:val="24"/>
        </w:rPr>
        <w:t>需承诺</w:t>
      </w:r>
      <w:proofErr w:type="gramEnd"/>
      <w:r>
        <w:rPr>
          <w:rFonts w:ascii="宋体" w:hAnsi="宋体" w:hint="eastAsia"/>
          <w:color w:val="FF0000"/>
          <w:sz w:val="24"/>
        </w:rPr>
        <w:t>提供终身免费售后维护服务。</w:t>
      </w:r>
    </w:p>
    <w:p w:rsidR="0049529D" w:rsidRDefault="00D902FD">
      <w:pPr>
        <w:numPr>
          <w:ilvl w:val="0"/>
          <w:numId w:val="9"/>
        </w:numPr>
        <w:spacing w:line="360" w:lineRule="auto"/>
        <w:rPr>
          <w:rFonts w:ascii="宋体" w:hAnsi="宋体"/>
          <w:sz w:val="24"/>
        </w:rPr>
      </w:pPr>
      <w:r>
        <w:rPr>
          <w:rFonts w:ascii="宋体" w:hAnsi="宋体" w:hint="eastAsia"/>
          <w:sz w:val="24"/>
        </w:rPr>
        <w:t>要求投标人必须拥有专业的售后维护服务团队，能够保证本项目所建设系统的正常运行。</w:t>
      </w:r>
    </w:p>
    <w:p w:rsidR="0049529D" w:rsidRDefault="00D902FD">
      <w:pPr>
        <w:numPr>
          <w:ilvl w:val="0"/>
          <w:numId w:val="9"/>
        </w:numPr>
        <w:spacing w:line="360" w:lineRule="auto"/>
        <w:rPr>
          <w:rFonts w:ascii="宋体" w:hAnsi="宋体"/>
          <w:sz w:val="24"/>
        </w:rPr>
      </w:pPr>
      <w:r>
        <w:rPr>
          <w:rFonts w:ascii="宋体" w:hAnsi="宋体" w:hint="eastAsia"/>
          <w:sz w:val="24"/>
        </w:rPr>
        <w:t>要求投标人提供</w:t>
      </w:r>
      <w:r>
        <w:rPr>
          <w:rFonts w:ascii="宋体" w:hAnsi="宋体" w:hint="eastAsia"/>
          <w:sz w:val="24"/>
        </w:rPr>
        <w:t>7</w:t>
      </w:r>
      <w:r>
        <w:rPr>
          <w:rFonts w:ascii="宋体" w:hAnsi="宋体" w:hint="eastAsia"/>
          <w:sz w:val="24"/>
        </w:rPr>
        <w:t>×</w:t>
      </w:r>
      <w:r>
        <w:rPr>
          <w:rFonts w:ascii="宋体" w:hAnsi="宋体" w:hint="eastAsia"/>
          <w:sz w:val="24"/>
        </w:rPr>
        <w:t>24</w:t>
      </w:r>
      <w:r>
        <w:rPr>
          <w:rFonts w:ascii="宋体" w:hAnsi="宋体" w:hint="eastAsia"/>
          <w:sz w:val="24"/>
        </w:rPr>
        <w:t>小时的电话热线咨询服务。对于系统在使用过程中出现的问题，在</w:t>
      </w:r>
      <w:r>
        <w:rPr>
          <w:rFonts w:ascii="宋体" w:hAnsi="宋体" w:hint="eastAsia"/>
          <w:sz w:val="24"/>
        </w:rPr>
        <w:t>1</w:t>
      </w:r>
      <w:r>
        <w:rPr>
          <w:rFonts w:ascii="宋体" w:hAnsi="宋体" w:hint="eastAsia"/>
          <w:sz w:val="24"/>
        </w:rPr>
        <w:t>小时内远程维护响应。如远程维护不能解决，则在</w:t>
      </w:r>
      <w:r>
        <w:rPr>
          <w:rFonts w:ascii="宋体" w:hAnsi="宋体" w:hint="eastAsia"/>
          <w:sz w:val="24"/>
        </w:rPr>
        <w:t>24</w:t>
      </w:r>
      <w:r>
        <w:rPr>
          <w:rFonts w:ascii="宋体" w:hAnsi="宋体" w:hint="eastAsia"/>
          <w:sz w:val="24"/>
        </w:rPr>
        <w:t>小时内工程技术人员到达现场维修。</w:t>
      </w:r>
      <w:bookmarkEnd w:id="9"/>
      <w:bookmarkEnd w:id="10"/>
    </w:p>
    <w:p w:rsidR="0049529D" w:rsidRDefault="00D902FD">
      <w:pPr>
        <w:numPr>
          <w:ilvl w:val="0"/>
          <w:numId w:val="9"/>
        </w:numPr>
        <w:spacing w:line="360" w:lineRule="auto"/>
        <w:rPr>
          <w:rFonts w:ascii="宋体" w:hAnsi="宋体"/>
          <w:sz w:val="24"/>
        </w:rPr>
      </w:pPr>
      <w:r>
        <w:rPr>
          <w:rFonts w:ascii="Segoe UI Symbol" w:hAnsi="Segoe UI Symbol" w:cs="Segoe UI Symbol"/>
          <w:kern w:val="0"/>
        </w:rPr>
        <w:t>★</w:t>
      </w:r>
      <w:r>
        <w:rPr>
          <w:rFonts w:ascii="宋体" w:hAnsi="宋体" w:hint="eastAsia"/>
          <w:color w:val="FF0000"/>
          <w:sz w:val="24"/>
        </w:rPr>
        <w:t>投标人</w:t>
      </w:r>
      <w:proofErr w:type="gramStart"/>
      <w:r>
        <w:rPr>
          <w:rFonts w:ascii="宋体" w:hAnsi="宋体" w:hint="eastAsia"/>
          <w:color w:val="FF0000"/>
          <w:sz w:val="24"/>
        </w:rPr>
        <w:t>需承诺</w:t>
      </w:r>
      <w:proofErr w:type="gramEnd"/>
      <w:r>
        <w:rPr>
          <w:rFonts w:ascii="宋体" w:hAnsi="宋体" w:hint="eastAsia"/>
          <w:color w:val="FF0000"/>
          <w:sz w:val="24"/>
        </w:rPr>
        <w:t>在项目验收前提供至少一人进行驻点服务。</w:t>
      </w:r>
    </w:p>
    <w:sectPr w:rsidR="00495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askerville Old Face">
    <w:altName w:val="Segoe Print"/>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242"/>
    <w:multiLevelType w:val="multilevel"/>
    <w:tmpl w:val="092872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7BF13D8"/>
    <w:multiLevelType w:val="multilevel"/>
    <w:tmpl w:val="27BF13D8"/>
    <w:lvl w:ilvl="0">
      <w:start w:val="1"/>
      <w:numFmt w:val="decimal"/>
      <w:pStyle w:val="Char2"/>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2">
    <w:nsid w:val="32E77D13"/>
    <w:multiLevelType w:val="multilevel"/>
    <w:tmpl w:val="32E77D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683458E"/>
    <w:multiLevelType w:val="multilevel"/>
    <w:tmpl w:val="4683458E"/>
    <w:lvl w:ilvl="0">
      <w:start w:val="1"/>
      <w:numFmt w:val="bullet"/>
      <w:pStyle w:val="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067BEB"/>
    <w:multiLevelType w:val="multilevel"/>
    <w:tmpl w:val="52067BE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6942E43"/>
    <w:multiLevelType w:val="multilevel"/>
    <w:tmpl w:val="56942E43"/>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58017286"/>
    <w:multiLevelType w:val="multilevel"/>
    <w:tmpl w:val="5801728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6A9F3532"/>
    <w:multiLevelType w:val="multilevel"/>
    <w:tmpl w:val="6A9F353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EC71503"/>
    <w:multiLevelType w:val="multilevel"/>
    <w:tmpl w:val="6EC7150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3"/>
  </w:num>
  <w:num w:numId="3">
    <w:abstractNumId w:val="1"/>
  </w:num>
  <w:num w:numId="4">
    <w:abstractNumId w:val="0"/>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C3"/>
    <w:rsid w:val="000211A5"/>
    <w:rsid w:val="0003224F"/>
    <w:rsid w:val="000468DA"/>
    <w:rsid w:val="00052BF4"/>
    <w:rsid w:val="000816E2"/>
    <w:rsid w:val="000842A3"/>
    <w:rsid w:val="00087F33"/>
    <w:rsid w:val="000B3966"/>
    <w:rsid w:val="000C5F8B"/>
    <w:rsid w:val="000F6D62"/>
    <w:rsid w:val="0010520F"/>
    <w:rsid w:val="00110138"/>
    <w:rsid w:val="0013698D"/>
    <w:rsid w:val="00150CF6"/>
    <w:rsid w:val="001566C1"/>
    <w:rsid w:val="00165AC6"/>
    <w:rsid w:val="00166D66"/>
    <w:rsid w:val="001775A0"/>
    <w:rsid w:val="00186B14"/>
    <w:rsid w:val="00194E7C"/>
    <w:rsid w:val="001C19AE"/>
    <w:rsid w:val="001C2550"/>
    <w:rsid w:val="001C47C3"/>
    <w:rsid w:val="001E3985"/>
    <w:rsid w:val="001E551F"/>
    <w:rsid w:val="001F59AA"/>
    <w:rsid w:val="00215C90"/>
    <w:rsid w:val="00223138"/>
    <w:rsid w:val="00231C5E"/>
    <w:rsid w:val="0025732F"/>
    <w:rsid w:val="00273B50"/>
    <w:rsid w:val="00275D88"/>
    <w:rsid w:val="00280BFC"/>
    <w:rsid w:val="00295B2A"/>
    <w:rsid w:val="002B173E"/>
    <w:rsid w:val="002B306B"/>
    <w:rsid w:val="002C1C90"/>
    <w:rsid w:val="002D4501"/>
    <w:rsid w:val="00307BD2"/>
    <w:rsid w:val="00313A7D"/>
    <w:rsid w:val="003465DC"/>
    <w:rsid w:val="003513E9"/>
    <w:rsid w:val="0035726F"/>
    <w:rsid w:val="003575FC"/>
    <w:rsid w:val="003829EC"/>
    <w:rsid w:val="00395BCC"/>
    <w:rsid w:val="003A0876"/>
    <w:rsid w:val="003A3CA4"/>
    <w:rsid w:val="003B202E"/>
    <w:rsid w:val="003D67C5"/>
    <w:rsid w:val="00420F97"/>
    <w:rsid w:val="00426092"/>
    <w:rsid w:val="004300DA"/>
    <w:rsid w:val="0043664B"/>
    <w:rsid w:val="00455D52"/>
    <w:rsid w:val="00474019"/>
    <w:rsid w:val="00475DE4"/>
    <w:rsid w:val="0049529D"/>
    <w:rsid w:val="004A7656"/>
    <w:rsid w:val="004C4FA9"/>
    <w:rsid w:val="004D44EA"/>
    <w:rsid w:val="00505BA3"/>
    <w:rsid w:val="0051110D"/>
    <w:rsid w:val="00515593"/>
    <w:rsid w:val="00542BCC"/>
    <w:rsid w:val="00542F7A"/>
    <w:rsid w:val="0056630E"/>
    <w:rsid w:val="00570470"/>
    <w:rsid w:val="00573B3A"/>
    <w:rsid w:val="00581D5D"/>
    <w:rsid w:val="005E6348"/>
    <w:rsid w:val="005E7FDB"/>
    <w:rsid w:val="006531A1"/>
    <w:rsid w:val="00665863"/>
    <w:rsid w:val="00685B47"/>
    <w:rsid w:val="006D2E78"/>
    <w:rsid w:val="006E0664"/>
    <w:rsid w:val="006F25E3"/>
    <w:rsid w:val="006F2F01"/>
    <w:rsid w:val="00702AA0"/>
    <w:rsid w:val="00714DD7"/>
    <w:rsid w:val="007206E7"/>
    <w:rsid w:val="00734EA7"/>
    <w:rsid w:val="00735D1F"/>
    <w:rsid w:val="007561D2"/>
    <w:rsid w:val="00756FB3"/>
    <w:rsid w:val="007701A0"/>
    <w:rsid w:val="007705A0"/>
    <w:rsid w:val="00783E6B"/>
    <w:rsid w:val="00795DB2"/>
    <w:rsid w:val="007A63DE"/>
    <w:rsid w:val="007B47F0"/>
    <w:rsid w:val="007B755C"/>
    <w:rsid w:val="007C089C"/>
    <w:rsid w:val="007D7875"/>
    <w:rsid w:val="00833C34"/>
    <w:rsid w:val="008408FA"/>
    <w:rsid w:val="00844255"/>
    <w:rsid w:val="008630D9"/>
    <w:rsid w:val="00880C04"/>
    <w:rsid w:val="008B0C6F"/>
    <w:rsid w:val="008B60A3"/>
    <w:rsid w:val="008B61F3"/>
    <w:rsid w:val="008C415A"/>
    <w:rsid w:val="008D1964"/>
    <w:rsid w:val="008D3C87"/>
    <w:rsid w:val="008F2DEE"/>
    <w:rsid w:val="00907360"/>
    <w:rsid w:val="0091106C"/>
    <w:rsid w:val="00914A31"/>
    <w:rsid w:val="00942909"/>
    <w:rsid w:val="00942CBC"/>
    <w:rsid w:val="00952CE6"/>
    <w:rsid w:val="009837BB"/>
    <w:rsid w:val="009A1EB8"/>
    <w:rsid w:val="009C590B"/>
    <w:rsid w:val="009C6965"/>
    <w:rsid w:val="009D087D"/>
    <w:rsid w:val="009D6994"/>
    <w:rsid w:val="009F014B"/>
    <w:rsid w:val="009F309F"/>
    <w:rsid w:val="009F438C"/>
    <w:rsid w:val="00A149D4"/>
    <w:rsid w:val="00A2054F"/>
    <w:rsid w:val="00A41523"/>
    <w:rsid w:val="00A44979"/>
    <w:rsid w:val="00A86995"/>
    <w:rsid w:val="00A93173"/>
    <w:rsid w:val="00A931DD"/>
    <w:rsid w:val="00AA71B2"/>
    <w:rsid w:val="00AA7C9D"/>
    <w:rsid w:val="00AB395F"/>
    <w:rsid w:val="00AB63B0"/>
    <w:rsid w:val="00B300A2"/>
    <w:rsid w:val="00B56EC1"/>
    <w:rsid w:val="00B71120"/>
    <w:rsid w:val="00B724FB"/>
    <w:rsid w:val="00BB0E6D"/>
    <w:rsid w:val="00BB1BED"/>
    <w:rsid w:val="00BD2B71"/>
    <w:rsid w:val="00C12B81"/>
    <w:rsid w:val="00C179CD"/>
    <w:rsid w:val="00C338A4"/>
    <w:rsid w:val="00C33981"/>
    <w:rsid w:val="00C431A9"/>
    <w:rsid w:val="00C50D5A"/>
    <w:rsid w:val="00C82860"/>
    <w:rsid w:val="00C83F47"/>
    <w:rsid w:val="00C85A26"/>
    <w:rsid w:val="00C926A7"/>
    <w:rsid w:val="00C9474C"/>
    <w:rsid w:val="00CC42F3"/>
    <w:rsid w:val="00CD0EDD"/>
    <w:rsid w:val="00CD7AFD"/>
    <w:rsid w:val="00CE6D3F"/>
    <w:rsid w:val="00D00DC3"/>
    <w:rsid w:val="00D04401"/>
    <w:rsid w:val="00D176C8"/>
    <w:rsid w:val="00D22B9D"/>
    <w:rsid w:val="00D83771"/>
    <w:rsid w:val="00D902FD"/>
    <w:rsid w:val="00D94AD6"/>
    <w:rsid w:val="00D9598F"/>
    <w:rsid w:val="00DA61AD"/>
    <w:rsid w:val="00DB07E5"/>
    <w:rsid w:val="00DF1478"/>
    <w:rsid w:val="00E003C8"/>
    <w:rsid w:val="00E0650F"/>
    <w:rsid w:val="00E066DB"/>
    <w:rsid w:val="00E3493D"/>
    <w:rsid w:val="00E54CD1"/>
    <w:rsid w:val="00E554B6"/>
    <w:rsid w:val="00E733EF"/>
    <w:rsid w:val="00EC4945"/>
    <w:rsid w:val="00ED7F3A"/>
    <w:rsid w:val="00EE2B78"/>
    <w:rsid w:val="00EE3C12"/>
    <w:rsid w:val="00EE45EE"/>
    <w:rsid w:val="00EE4731"/>
    <w:rsid w:val="00EE623A"/>
    <w:rsid w:val="00F0096B"/>
    <w:rsid w:val="00F046F0"/>
    <w:rsid w:val="00F34D07"/>
    <w:rsid w:val="00F57FB2"/>
    <w:rsid w:val="00F733DF"/>
    <w:rsid w:val="00FB383A"/>
    <w:rsid w:val="00FB68AF"/>
    <w:rsid w:val="00FD0E60"/>
    <w:rsid w:val="00FD7865"/>
    <w:rsid w:val="00FE0B96"/>
    <w:rsid w:val="00FE5A5A"/>
    <w:rsid w:val="23686B33"/>
    <w:rsid w:val="2C161FDE"/>
    <w:rsid w:val="36A3360D"/>
    <w:rsid w:val="4C403FB6"/>
    <w:rsid w:val="61801720"/>
    <w:rsid w:val="62AA2C9D"/>
    <w:rsid w:val="7713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unhideWhenUsed="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qFormat/>
    <w:pPr>
      <w:keepNext/>
      <w:keepLines/>
      <w:numPr>
        <w:numId w:val="1"/>
      </w:numPr>
      <w:spacing w:before="340" w:after="330" w:line="576" w:lineRule="auto"/>
      <w:outlineLvl w:val="0"/>
    </w:pPr>
    <w:rPr>
      <w:rFonts w:eastAsia="宋体"/>
      <w:b/>
      <w:bCs/>
      <w:kern w:val="44"/>
      <w:sz w:val="44"/>
      <w:szCs w:val="44"/>
    </w:rPr>
  </w:style>
  <w:style w:type="paragraph" w:styleId="2">
    <w:name w:val="heading 2"/>
    <w:basedOn w:val="a"/>
    <w:next w:val="a"/>
    <w:link w:val="2Char"/>
    <w:unhideWhenUsed/>
    <w:qFormat/>
    <w:pPr>
      <w:keepNext/>
      <w:keepLines/>
      <w:numPr>
        <w:ilvl w:val="1"/>
        <w:numId w:val="1"/>
      </w:numPr>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numPr>
        <w:ilvl w:val="2"/>
        <w:numId w:val="1"/>
      </w:numPr>
      <w:spacing w:before="260" w:after="260" w:line="415" w:lineRule="auto"/>
      <w:outlineLvl w:val="2"/>
    </w:pPr>
    <w:rPr>
      <w:rFonts w:eastAsia="宋体"/>
      <w:sz w:val="32"/>
      <w:szCs w:val="32"/>
    </w:rPr>
  </w:style>
  <w:style w:type="paragraph" w:styleId="4">
    <w:name w:val="heading 4"/>
    <w:basedOn w:val="a"/>
    <w:next w:val="a"/>
    <w:link w:val="4Char"/>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宋体" w:eastAsia="黑体" w:hAnsi="宋体" w:cs="Times New Roman"/>
      <w:b/>
      <w:bCs/>
      <w:sz w:val="24"/>
      <w:szCs w:val="28"/>
    </w:rPr>
  </w:style>
  <w:style w:type="paragraph" w:styleId="6">
    <w:name w:val="heading 6"/>
    <w:basedOn w:val="a"/>
    <w:next w:val="a"/>
    <w:link w:val="6Char"/>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semiHidden/>
    <w:unhideWhenUsed/>
    <w:qFormat/>
    <w:pPr>
      <w:spacing w:after="120"/>
    </w:pPr>
  </w:style>
  <w:style w:type="paragraph" w:styleId="a7">
    <w:name w:val="Balloon Text"/>
    <w:basedOn w:val="a"/>
    <w:link w:val="Char1"/>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uiPriority w:val="99"/>
    <w:semiHidden/>
    <w:unhideWhenUsed/>
    <w:qFormat/>
    <w:pPr>
      <w:ind w:firstLineChars="100" w:firstLine="420"/>
    </w:pPr>
  </w:style>
  <w:style w:type="table" w:styleId="ad">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Pr>
      <w:sz w:val="21"/>
      <w:szCs w:val="21"/>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1Char">
    <w:name w:val="标题 1 Char"/>
    <w:basedOn w:val="a0"/>
    <w:link w:val="10"/>
    <w:rPr>
      <w:rFonts w:eastAsia="宋体"/>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3Char">
    <w:name w:val="标题 3 Char"/>
    <w:basedOn w:val="a0"/>
    <w:link w:val="3"/>
    <w:qFormat/>
    <w:rPr>
      <w:rFonts w:eastAsia="宋体"/>
      <w:kern w:val="2"/>
      <w:sz w:val="32"/>
      <w:szCs w:val="32"/>
    </w:rPr>
  </w:style>
  <w:style w:type="paragraph" w:styleId="af">
    <w:name w:val="List Paragraph"/>
    <w:basedOn w:val="a"/>
    <w:link w:val="Char7"/>
    <w:uiPriority w:val="34"/>
    <w:qFormat/>
    <w:pPr>
      <w:ind w:firstLineChars="200" w:firstLine="420"/>
    </w:pPr>
  </w:style>
  <w:style w:type="paragraph" w:customStyle="1" w:styleId="af0">
    <w:name w:val="表头文本"/>
    <w:basedOn w:val="a"/>
    <w:qFormat/>
    <w:pPr>
      <w:autoSpaceDE w:val="0"/>
      <w:autoSpaceDN w:val="0"/>
      <w:adjustRightInd w:val="0"/>
      <w:jc w:val="center"/>
    </w:pPr>
    <w:rPr>
      <w:rFonts w:ascii="Times New Roman" w:eastAsia="宋体" w:hAnsi="Times New Roman" w:cs="Times New Roman"/>
      <w:b/>
      <w:kern w:val="0"/>
      <w:sz w:val="24"/>
      <w:szCs w:val="20"/>
    </w:rPr>
  </w:style>
  <w:style w:type="paragraph" w:customStyle="1" w:styleId="Style4">
    <w:name w:val="_Style 4"/>
    <w:basedOn w:val="a"/>
    <w:uiPriority w:val="34"/>
    <w:qFormat/>
    <w:pPr>
      <w:ind w:firstLineChars="200" w:firstLine="420"/>
    </w:pPr>
    <w:rPr>
      <w:rFonts w:ascii="Calibri" w:eastAsia="宋体" w:hAnsi="Calibri" w:cs="Times New Roman"/>
    </w:rPr>
  </w:style>
  <w:style w:type="paragraph" w:customStyle="1" w:styleId="af1">
    <w:name w:val="正文格式正文"/>
    <w:basedOn w:val="a"/>
    <w:qFormat/>
    <w:pPr>
      <w:spacing w:line="360" w:lineRule="auto"/>
      <w:ind w:firstLineChars="200" w:firstLine="480"/>
    </w:pPr>
    <w:rPr>
      <w:rFonts w:ascii="Times New Roman" w:eastAsia="宋体" w:hAnsi="Times New Roman" w:cs="Times New Roman"/>
      <w:sz w:val="24"/>
      <w:szCs w:val="20"/>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customStyle="1" w:styleId="20">
    <w:name w:val="样式 正文缩进 + 首行缩进:  2 字符"/>
    <w:basedOn w:val="a3"/>
    <w:link w:val="2Char0"/>
    <w:qFormat/>
    <w:pPr>
      <w:spacing w:line="360" w:lineRule="auto"/>
      <w:ind w:firstLineChars="0" w:firstLine="200"/>
    </w:pPr>
    <w:rPr>
      <w:rFonts w:ascii="Times New Roman" w:eastAsia="宋体" w:hAnsi="Times New Roman" w:cs="宋体"/>
      <w:sz w:val="24"/>
      <w:szCs w:val="20"/>
    </w:rPr>
  </w:style>
  <w:style w:type="paragraph" w:customStyle="1" w:styleId="af2">
    <w:name w:val="智业正文"/>
    <w:basedOn w:val="ac"/>
    <w:link w:val="Char8"/>
    <w:qFormat/>
    <w:pPr>
      <w:spacing w:after="0" w:line="360" w:lineRule="auto"/>
      <w:ind w:firstLineChars="200" w:firstLine="200"/>
    </w:pPr>
    <w:rPr>
      <w:rFonts w:ascii="宋体" w:eastAsia="宋体" w:hAnsi="宋体" w:cs="Times New Roman"/>
      <w:sz w:val="24"/>
      <w:szCs w:val="24"/>
    </w:rPr>
  </w:style>
  <w:style w:type="character" w:customStyle="1" w:styleId="Char8">
    <w:name w:val="智业正文 Char"/>
    <w:link w:val="af2"/>
    <w:qFormat/>
    <w:locked/>
    <w:rPr>
      <w:rFonts w:ascii="宋体" w:eastAsia="宋体" w:hAnsi="宋体" w:cs="Times New Roman"/>
      <w:sz w:val="24"/>
      <w:szCs w:val="24"/>
    </w:rPr>
  </w:style>
  <w:style w:type="character" w:customStyle="1" w:styleId="Char0">
    <w:name w:val="正文文本 Char"/>
    <w:basedOn w:val="a0"/>
    <w:link w:val="a6"/>
    <w:uiPriority w:val="99"/>
    <w:semiHidden/>
    <w:qFormat/>
  </w:style>
  <w:style w:type="character" w:customStyle="1" w:styleId="Char6">
    <w:name w:val="正文首行缩进 Char"/>
    <w:basedOn w:val="Char0"/>
    <w:link w:val="ac"/>
    <w:uiPriority w:val="99"/>
    <w:semiHidden/>
  </w:style>
  <w:style w:type="character" w:customStyle="1" w:styleId="Char">
    <w:name w:val="批注文字 Char"/>
    <w:basedOn w:val="a0"/>
    <w:link w:val="a5"/>
    <w:uiPriority w:val="99"/>
    <w:semiHidden/>
    <w:qFormat/>
  </w:style>
  <w:style w:type="character" w:customStyle="1" w:styleId="Char5">
    <w:name w:val="批注主题 Char"/>
    <w:basedOn w:val="Char"/>
    <w:link w:val="ab"/>
    <w:uiPriority w:val="99"/>
    <w:semiHidden/>
    <w:rPr>
      <w:b/>
      <w:bCs/>
    </w:rPr>
  </w:style>
  <w:style w:type="character" w:customStyle="1" w:styleId="Char1">
    <w:name w:val="批注框文本 Char"/>
    <w:basedOn w:val="a0"/>
    <w:link w:val="a7"/>
    <w:uiPriority w:val="99"/>
    <w:semiHidden/>
    <w:qFormat/>
    <w:rPr>
      <w:sz w:val="18"/>
      <w:szCs w:val="18"/>
    </w:rPr>
  </w:style>
  <w:style w:type="character" w:customStyle="1" w:styleId="2Char0">
    <w:name w:val="样式 正文缩进 + 首行缩进:  2 字符 Char"/>
    <w:link w:val="20"/>
    <w:qFormat/>
    <w:locked/>
    <w:rPr>
      <w:rFonts w:ascii="Times New Roman" w:eastAsia="宋体" w:hAnsi="Times New Roman" w:cs="宋体"/>
      <w:sz w:val="24"/>
      <w:szCs w:val="20"/>
    </w:rPr>
  </w:style>
  <w:style w:type="character" w:customStyle="1" w:styleId="5Char">
    <w:name w:val="标题 5 Char"/>
    <w:basedOn w:val="a0"/>
    <w:link w:val="5"/>
    <w:qFormat/>
    <w:rPr>
      <w:rFonts w:ascii="宋体" w:eastAsia="黑体" w:hAnsi="宋体" w:cs="Times New Roman"/>
      <w:b/>
      <w:bCs/>
      <w:kern w:val="2"/>
      <w:sz w:val="24"/>
      <w:szCs w:val="28"/>
    </w:rPr>
  </w:style>
  <w:style w:type="paragraph" w:customStyle="1" w:styleId="1">
    <w:name w:val="列出段落1"/>
    <w:basedOn w:val="a"/>
    <w:qFormat/>
    <w:pPr>
      <w:numPr>
        <w:numId w:val="2"/>
      </w:numPr>
      <w:tabs>
        <w:tab w:val="left" w:pos="840"/>
      </w:tabs>
      <w:ind w:firstLine="0"/>
    </w:pPr>
    <w:rPr>
      <w:rFonts w:ascii="Times New Roman" w:eastAsia="宋体" w:hAnsi="Times New Roman" w:cs="Times New Roman"/>
      <w:szCs w:val="20"/>
    </w:rPr>
  </w:style>
  <w:style w:type="character" w:customStyle="1" w:styleId="Char7">
    <w:name w:val="列出段落 Char"/>
    <w:link w:val="af"/>
    <w:uiPriority w:val="34"/>
    <w:qFormat/>
    <w:rPr>
      <w:kern w:val="2"/>
      <w:sz w:val="21"/>
      <w:szCs w:val="22"/>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character" w:customStyle="1" w:styleId="7Char">
    <w:name w:val="标题 7 Char"/>
    <w:basedOn w:val="a0"/>
    <w:link w:val="7"/>
    <w:qFormat/>
    <w:rPr>
      <w:b/>
      <w:bCs/>
      <w:kern w:val="2"/>
      <w:sz w:val="24"/>
      <w:szCs w:val="24"/>
    </w:rPr>
  </w:style>
  <w:style w:type="character" w:customStyle="1" w:styleId="8Char">
    <w:name w:val="标题 8 Char"/>
    <w:basedOn w:val="a0"/>
    <w:link w:val="8"/>
    <w:qFormat/>
    <w:rPr>
      <w:rFonts w:asciiTheme="majorHAnsi" w:eastAsiaTheme="majorEastAsia" w:hAnsiTheme="majorHAnsi" w:cstheme="majorBidi"/>
      <w:kern w:val="2"/>
      <w:sz w:val="24"/>
      <w:szCs w:val="24"/>
    </w:rPr>
  </w:style>
  <w:style w:type="character" w:customStyle="1" w:styleId="9Char">
    <w:name w:val="标题 9 Char"/>
    <w:basedOn w:val="a0"/>
    <w:link w:val="9"/>
    <w:qFormat/>
    <w:rPr>
      <w:rFonts w:asciiTheme="majorHAnsi" w:eastAsiaTheme="majorEastAsia" w:hAnsiTheme="majorHAnsi" w:cstheme="majorBidi"/>
      <w:kern w:val="2"/>
      <w:sz w:val="21"/>
      <w:szCs w:val="21"/>
    </w:rPr>
  </w:style>
  <w:style w:type="paragraph" w:customStyle="1" w:styleId="af3">
    <w:name w:val="表格正文"/>
    <w:link w:val="Char9"/>
    <w:uiPriority w:val="4"/>
    <w:qFormat/>
    <w:pPr>
      <w:spacing w:line="276" w:lineRule="auto"/>
      <w:jc w:val="center"/>
    </w:pPr>
    <w:rPr>
      <w:rFonts w:ascii="Calibri" w:eastAsia="宋体" w:hAnsi="Calibri" w:cs="Times New Roman"/>
      <w:kern w:val="2"/>
      <w:sz w:val="21"/>
      <w:szCs w:val="21"/>
    </w:rPr>
  </w:style>
  <w:style w:type="character" w:customStyle="1" w:styleId="Char9">
    <w:name w:val="表格正文 Char"/>
    <w:link w:val="af3"/>
    <w:uiPriority w:val="4"/>
    <w:qFormat/>
    <w:rPr>
      <w:rFonts w:ascii="Calibri" w:eastAsia="宋体" w:hAnsi="Calibri" w:cs="Times New Roman"/>
      <w:kern w:val="2"/>
      <w:sz w:val="21"/>
      <w:szCs w:val="21"/>
    </w:rPr>
  </w:style>
  <w:style w:type="paragraph" w:customStyle="1" w:styleId="11">
    <w:name w:val="1正文1"/>
    <w:basedOn w:val="a"/>
    <w:link w:val="11Char"/>
    <w:qFormat/>
    <w:pPr>
      <w:spacing w:line="360" w:lineRule="auto"/>
      <w:ind w:firstLineChars="200" w:firstLine="200"/>
    </w:pPr>
    <w:rPr>
      <w:rFonts w:ascii="宋体" w:eastAsia="仿宋" w:hAnsi="宋体" w:cs="Times New Roman"/>
      <w:sz w:val="28"/>
      <w:szCs w:val="20"/>
      <w:lang w:val="zh-CN"/>
    </w:rPr>
  </w:style>
  <w:style w:type="character" w:customStyle="1" w:styleId="11Char">
    <w:name w:val="1正文1 Char"/>
    <w:link w:val="11"/>
    <w:qFormat/>
    <w:rPr>
      <w:rFonts w:ascii="宋体" w:eastAsia="仿宋" w:hAnsi="宋体" w:cs="Times New Roman"/>
      <w:kern w:val="2"/>
      <w:sz w:val="28"/>
      <w:lang w:val="zh-CN" w:eastAsia="zh-CN"/>
    </w:rPr>
  </w:style>
  <w:style w:type="paragraph" w:customStyle="1" w:styleId="af4">
    <w:name w:val="表注"/>
    <w:basedOn w:val="a4"/>
    <w:link w:val="Chara"/>
    <w:qFormat/>
    <w:pPr>
      <w:keepNext/>
      <w:spacing w:beforeLines="50" w:before="50" w:line="360" w:lineRule="auto"/>
      <w:ind w:firstLine="403"/>
      <w:jc w:val="center"/>
    </w:pPr>
    <w:rPr>
      <w:rFonts w:ascii="Arial" w:hAnsi="Arial" w:cs="Arial"/>
    </w:rPr>
  </w:style>
  <w:style w:type="character" w:customStyle="1" w:styleId="Chara">
    <w:name w:val="表注 Char"/>
    <w:link w:val="af4"/>
    <w:qFormat/>
    <w:rPr>
      <w:rFonts w:ascii="Arial" w:eastAsia="黑体" w:hAnsi="Arial" w:cs="Arial"/>
      <w:kern w:val="2"/>
    </w:rPr>
  </w:style>
  <w:style w:type="paragraph" w:customStyle="1" w:styleId="af5">
    <w:name w:val="图注"/>
    <w:basedOn w:val="a"/>
    <w:link w:val="Charb"/>
    <w:qFormat/>
    <w:pPr>
      <w:widowControl/>
      <w:autoSpaceDE w:val="0"/>
      <w:autoSpaceDN w:val="0"/>
      <w:adjustRightInd w:val="0"/>
      <w:spacing w:afterLines="50" w:after="163" w:line="360" w:lineRule="auto"/>
      <w:jc w:val="center"/>
    </w:pPr>
    <w:rPr>
      <w:rFonts w:ascii="黑体" w:eastAsia="黑体" w:hAnsi="黑体" w:cs="Times New Roman"/>
      <w:kern w:val="0"/>
      <w:sz w:val="20"/>
      <w:szCs w:val="24"/>
      <w:lang w:val="zh-CN"/>
    </w:rPr>
  </w:style>
  <w:style w:type="character" w:customStyle="1" w:styleId="Charb">
    <w:name w:val="图注 Char"/>
    <w:link w:val="af5"/>
    <w:qFormat/>
    <w:rPr>
      <w:rFonts w:ascii="黑体" w:eastAsia="黑体" w:hAnsi="黑体" w:cs="Times New Roman"/>
      <w:szCs w:val="24"/>
      <w:lang w:val="zh-CN" w:eastAsia="zh-CN"/>
    </w:rPr>
  </w:style>
  <w:style w:type="paragraph" w:customStyle="1" w:styleId="af6">
    <w:name w:val="首行缩进"/>
    <w:basedOn w:val="a"/>
    <w:qFormat/>
    <w:pPr>
      <w:spacing w:line="360" w:lineRule="auto"/>
      <w:ind w:firstLineChars="200" w:firstLine="480"/>
    </w:pPr>
    <w:rPr>
      <w:rFonts w:ascii="Times New Roman" w:eastAsia="宋体" w:hAnsi="Times New Roman" w:cs="Times New Roman"/>
      <w:sz w:val="24"/>
      <w:szCs w:val="24"/>
      <w:lang w:val="zh-CN"/>
    </w:rPr>
  </w:style>
  <w:style w:type="paragraph" w:customStyle="1" w:styleId="Char2">
    <w:name w:val="Char2"/>
    <w:basedOn w:val="a"/>
    <w:qFormat/>
    <w:pPr>
      <w:numPr>
        <w:numId w:val="3"/>
      </w:numPr>
      <w:spacing w:line="360" w:lineRule="auto"/>
      <w:ind w:firstLineChars="200" w:firstLine="200"/>
    </w:pPr>
    <w:rPr>
      <w:rFonts w:ascii="Baskerville Old Face" w:eastAsia="宋体" w:hAnsi="Baskerville Old Face" w:cs="Baskerville Old Face"/>
      <w:sz w:val="24"/>
      <w:szCs w:val="24"/>
    </w:rPr>
  </w:style>
  <w:style w:type="character" w:customStyle="1" w:styleId="Charc">
    <w:name w:val="*正文 Char"/>
    <w:link w:val="af7"/>
    <w:qFormat/>
    <w:locked/>
    <w:rPr>
      <w:sz w:val="24"/>
      <w:szCs w:val="24"/>
    </w:rPr>
  </w:style>
  <w:style w:type="paragraph" w:customStyle="1" w:styleId="af7">
    <w:name w:val="*正文"/>
    <w:basedOn w:val="a"/>
    <w:link w:val="Charc"/>
    <w:qFormat/>
    <w:pPr>
      <w:spacing w:line="360" w:lineRule="auto"/>
      <w:ind w:firstLineChars="200" w:firstLine="200"/>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unhideWhenUsed="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qFormat/>
    <w:pPr>
      <w:keepNext/>
      <w:keepLines/>
      <w:numPr>
        <w:numId w:val="1"/>
      </w:numPr>
      <w:spacing w:before="340" w:after="330" w:line="576" w:lineRule="auto"/>
      <w:outlineLvl w:val="0"/>
    </w:pPr>
    <w:rPr>
      <w:rFonts w:eastAsia="宋体"/>
      <w:b/>
      <w:bCs/>
      <w:kern w:val="44"/>
      <w:sz w:val="44"/>
      <w:szCs w:val="44"/>
    </w:rPr>
  </w:style>
  <w:style w:type="paragraph" w:styleId="2">
    <w:name w:val="heading 2"/>
    <w:basedOn w:val="a"/>
    <w:next w:val="a"/>
    <w:link w:val="2Char"/>
    <w:unhideWhenUsed/>
    <w:qFormat/>
    <w:pPr>
      <w:keepNext/>
      <w:keepLines/>
      <w:numPr>
        <w:ilvl w:val="1"/>
        <w:numId w:val="1"/>
      </w:numPr>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numPr>
        <w:ilvl w:val="2"/>
        <w:numId w:val="1"/>
      </w:numPr>
      <w:spacing w:before="260" w:after="260" w:line="415" w:lineRule="auto"/>
      <w:outlineLvl w:val="2"/>
    </w:pPr>
    <w:rPr>
      <w:rFonts w:eastAsia="宋体"/>
      <w:sz w:val="32"/>
      <w:szCs w:val="32"/>
    </w:rPr>
  </w:style>
  <w:style w:type="paragraph" w:styleId="4">
    <w:name w:val="heading 4"/>
    <w:basedOn w:val="a"/>
    <w:next w:val="a"/>
    <w:link w:val="4Char"/>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宋体" w:eastAsia="黑体" w:hAnsi="宋体" w:cs="Times New Roman"/>
      <w:b/>
      <w:bCs/>
      <w:sz w:val="24"/>
      <w:szCs w:val="28"/>
    </w:rPr>
  </w:style>
  <w:style w:type="paragraph" w:styleId="6">
    <w:name w:val="heading 6"/>
    <w:basedOn w:val="a"/>
    <w:next w:val="a"/>
    <w:link w:val="6Char"/>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semiHidden/>
    <w:unhideWhenUsed/>
    <w:qFormat/>
    <w:pPr>
      <w:spacing w:after="120"/>
    </w:pPr>
  </w:style>
  <w:style w:type="paragraph" w:styleId="a7">
    <w:name w:val="Balloon Text"/>
    <w:basedOn w:val="a"/>
    <w:link w:val="Char1"/>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uiPriority w:val="99"/>
    <w:semiHidden/>
    <w:unhideWhenUsed/>
    <w:qFormat/>
    <w:pPr>
      <w:ind w:firstLineChars="100" w:firstLine="420"/>
    </w:pPr>
  </w:style>
  <w:style w:type="table" w:styleId="ad">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Pr>
      <w:sz w:val="21"/>
      <w:szCs w:val="21"/>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1Char">
    <w:name w:val="标题 1 Char"/>
    <w:basedOn w:val="a0"/>
    <w:link w:val="10"/>
    <w:rPr>
      <w:rFonts w:eastAsia="宋体"/>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3Char">
    <w:name w:val="标题 3 Char"/>
    <w:basedOn w:val="a0"/>
    <w:link w:val="3"/>
    <w:qFormat/>
    <w:rPr>
      <w:rFonts w:eastAsia="宋体"/>
      <w:kern w:val="2"/>
      <w:sz w:val="32"/>
      <w:szCs w:val="32"/>
    </w:rPr>
  </w:style>
  <w:style w:type="paragraph" w:styleId="af">
    <w:name w:val="List Paragraph"/>
    <w:basedOn w:val="a"/>
    <w:link w:val="Char7"/>
    <w:uiPriority w:val="34"/>
    <w:qFormat/>
    <w:pPr>
      <w:ind w:firstLineChars="200" w:firstLine="420"/>
    </w:pPr>
  </w:style>
  <w:style w:type="paragraph" w:customStyle="1" w:styleId="af0">
    <w:name w:val="表头文本"/>
    <w:basedOn w:val="a"/>
    <w:qFormat/>
    <w:pPr>
      <w:autoSpaceDE w:val="0"/>
      <w:autoSpaceDN w:val="0"/>
      <w:adjustRightInd w:val="0"/>
      <w:jc w:val="center"/>
    </w:pPr>
    <w:rPr>
      <w:rFonts w:ascii="Times New Roman" w:eastAsia="宋体" w:hAnsi="Times New Roman" w:cs="Times New Roman"/>
      <w:b/>
      <w:kern w:val="0"/>
      <w:sz w:val="24"/>
      <w:szCs w:val="20"/>
    </w:rPr>
  </w:style>
  <w:style w:type="paragraph" w:customStyle="1" w:styleId="Style4">
    <w:name w:val="_Style 4"/>
    <w:basedOn w:val="a"/>
    <w:uiPriority w:val="34"/>
    <w:qFormat/>
    <w:pPr>
      <w:ind w:firstLineChars="200" w:firstLine="420"/>
    </w:pPr>
    <w:rPr>
      <w:rFonts w:ascii="Calibri" w:eastAsia="宋体" w:hAnsi="Calibri" w:cs="Times New Roman"/>
    </w:rPr>
  </w:style>
  <w:style w:type="paragraph" w:customStyle="1" w:styleId="af1">
    <w:name w:val="正文格式正文"/>
    <w:basedOn w:val="a"/>
    <w:qFormat/>
    <w:pPr>
      <w:spacing w:line="360" w:lineRule="auto"/>
      <w:ind w:firstLineChars="200" w:firstLine="480"/>
    </w:pPr>
    <w:rPr>
      <w:rFonts w:ascii="Times New Roman" w:eastAsia="宋体" w:hAnsi="Times New Roman" w:cs="Times New Roman"/>
      <w:sz w:val="24"/>
      <w:szCs w:val="20"/>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customStyle="1" w:styleId="20">
    <w:name w:val="样式 正文缩进 + 首行缩进:  2 字符"/>
    <w:basedOn w:val="a3"/>
    <w:link w:val="2Char0"/>
    <w:qFormat/>
    <w:pPr>
      <w:spacing w:line="360" w:lineRule="auto"/>
      <w:ind w:firstLineChars="0" w:firstLine="200"/>
    </w:pPr>
    <w:rPr>
      <w:rFonts w:ascii="Times New Roman" w:eastAsia="宋体" w:hAnsi="Times New Roman" w:cs="宋体"/>
      <w:sz w:val="24"/>
      <w:szCs w:val="20"/>
    </w:rPr>
  </w:style>
  <w:style w:type="paragraph" w:customStyle="1" w:styleId="af2">
    <w:name w:val="智业正文"/>
    <w:basedOn w:val="ac"/>
    <w:link w:val="Char8"/>
    <w:qFormat/>
    <w:pPr>
      <w:spacing w:after="0" w:line="360" w:lineRule="auto"/>
      <w:ind w:firstLineChars="200" w:firstLine="200"/>
    </w:pPr>
    <w:rPr>
      <w:rFonts w:ascii="宋体" w:eastAsia="宋体" w:hAnsi="宋体" w:cs="Times New Roman"/>
      <w:sz w:val="24"/>
      <w:szCs w:val="24"/>
    </w:rPr>
  </w:style>
  <w:style w:type="character" w:customStyle="1" w:styleId="Char8">
    <w:name w:val="智业正文 Char"/>
    <w:link w:val="af2"/>
    <w:qFormat/>
    <w:locked/>
    <w:rPr>
      <w:rFonts w:ascii="宋体" w:eastAsia="宋体" w:hAnsi="宋体" w:cs="Times New Roman"/>
      <w:sz w:val="24"/>
      <w:szCs w:val="24"/>
    </w:rPr>
  </w:style>
  <w:style w:type="character" w:customStyle="1" w:styleId="Char0">
    <w:name w:val="正文文本 Char"/>
    <w:basedOn w:val="a0"/>
    <w:link w:val="a6"/>
    <w:uiPriority w:val="99"/>
    <w:semiHidden/>
    <w:qFormat/>
  </w:style>
  <w:style w:type="character" w:customStyle="1" w:styleId="Char6">
    <w:name w:val="正文首行缩进 Char"/>
    <w:basedOn w:val="Char0"/>
    <w:link w:val="ac"/>
    <w:uiPriority w:val="99"/>
    <w:semiHidden/>
  </w:style>
  <w:style w:type="character" w:customStyle="1" w:styleId="Char">
    <w:name w:val="批注文字 Char"/>
    <w:basedOn w:val="a0"/>
    <w:link w:val="a5"/>
    <w:uiPriority w:val="99"/>
    <w:semiHidden/>
    <w:qFormat/>
  </w:style>
  <w:style w:type="character" w:customStyle="1" w:styleId="Char5">
    <w:name w:val="批注主题 Char"/>
    <w:basedOn w:val="Char"/>
    <w:link w:val="ab"/>
    <w:uiPriority w:val="99"/>
    <w:semiHidden/>
    <w:rPr>
      <w:b/>
      <w:bCs/>
    </w:rPr>
  </w:style>
  <w:style w:type="character" w:customStyle="1" w:styleId="Char1">
    <w:name w:val="批注框文本 Char"/>
    <w:basedOn w:val="a0"/>
    <w:link w:val="a7"/>
    <w:uiPriority w:val="99"/>
    <w:semiHidden/>
    <w:qFormat/>
    <w:rPr>
      <w:sz w:val="18"/>
      <w:szCs w:val="18"/>
    </w:rPr>
  </w:style>
  <w:style w:type="character" w:customStyle="1" w:styleId="2Char0">
    <w:name w:val="样式 正文缩进 + 首行缩进:  2 字符 Char"/>
    <w:link w:val="20"/>
    <w:qFormat/>
    <w:locked/>
    <w:rPr>
      <w:rFonts w:ascii="Times New Roman" w:eastAsia="宋体" w:hAnsi="Times New Roman" w:cs="宋体"/>
      <w:sz w:val="24"/>
      <w:szCs w:val="20"/>
    </w:rPr>
  </w:style>
  <w:style w:type="character" w:customStyle="1" w:styleId="5Char">
    <w:name w:val="标题 5 Char"/>
    <w:basedOn w:val="a0"/>
    <w:link w:val="5"/>
    <w:qFormat/>
    <w:rPr>
      <w:rFonts w:ascii="宋体" w:eastAsia="黑体" w:hAnsi="宋体" w:cs="Times New Roman"/>
      <w:b/>
      <w:bCs/>
      <w:kern w:val="2"/>
      <w:sz w:val="24"/>
      <w:szCs w:val="28"/>
    </w:rPr>
  </w:style>
  <w:style w:type="paragraph" w:customStyle="1" w:styleId="1">
    <w:name w:val="列出段落1"/>
    <w:basedOn w:val="a"/>
    <w:qFormat/>
    <w:pPr>
      <w:numPr>
        <w:numId w:val="2"/>
      </w:numPr>
      <w:tabs>
        <w:tab w:val="left" w:pos="840"/>
      </w:tabs>
      <w:ind w:firstLine="0"/>
    </w:pPr>
    <w:rPr>
      <w:rFonts w:ascii="Times New Roman" w:eastAsia="宋体" w:hAnsi="Times New Roman" w:cs="Times New Roman"/>
      <w:szCs w:val="20"/>
    </w:rPr>
  </w:style>
  <w:style w:type="character" w:customStyle="1" w:styleId="Char7">
    <w:name w:val="列出段落 Char"/>
    <w:link w:val="af"/>
    <w:uiPriority w:val="34"/>
    <w:qFormat/>
    <w:rPr>
      <w:kern w:val="2"/>
      <w:sz w:val="21"/>
      <w:szCs w:val="22"/>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character" w:customStyle="1" w:styleId="7Char">
    <w:name w:val="标题 7 Char"/>
    <w:basedOn w:val="a0"/>
    <w:link w:val="7"/>
    <w:qFormat/>
    <w:rPr>
      <w:b/>
      <w:bCs/>
      <w:kern w:val="2"/>
      <w:sz w:val="24"/>
      <w:szCs w:val="24"/>
    </w:rPr>
  </w:style>
  <w:style w:type="character" w:customStyle="1" w:styleId="8Char">
    <w:name w:val="标题 8 Char"/>
    <w:basedOn w:val="a0"/>
    <w:link w:val="8"/>
    <w:qFormat/>
    <w:rPr>
      <w:rFonts w:asciiTheme="majorHAnsi" w:eastAsiaTheme="majorEastAsia" w:hAnsiTheme="majorHAnsi" w:cstheme="majorBidi"/>
      <w:kern w:val="2"/>
      <w:sz w:val="24"/>
      <w:szCs w:val="24"/>
    </w:rPr>
  </w:style>
  <w:style w:type="character" w:customStyle="1" w:styleId="9Char">
    <w:name w:val="标题 9 Char"/>
    <w:basedOn w:val="a0"/>
    <w:link w:val="9"/>
    <w:qFormat/>
    <w:rPr>
      <w:rFonts w:asciiTheme="majorHAnsi" w:eastAsiaTheme="majorEastAsia" w:hAnsiTheme="majorHAnsi" w:cstheme="majorBidi"/>
      <w:kern w:val="2"/>
      <w:sz w:val="21"/>
      <w:szCs w:val="21"/>
    </w:rPr>
  </w:style>
  <w:style w:type="paragraph" w:customStyle="1" w:styleId="af3">
    <w:name w:val="表格正文"/>
    <w:link w:val="Char9"/>
    <w:uiPriority w:val="4"/>
    <w:qFormat/>
    <w:pPr>
      <w:spacing w:line="276" w:lineRule="auto"/>
      <w:jc w:val="center"/>
    </w:pPr>
    <w:rPr>
      <w:rFonts w:ascii="Calibri" w:eastAsia="宋体" w:hAnsi="Calibri" w:cs="Times New Roman"/>
      <w:kern w:val="2"/>
      <w:sz w:val="21"/>
      <w:szCs w:val="21"/>
    </w:rPr>
  </w:style>
  <w:style w:type="character" w:customStyle="1" w:styleId="Char9">
    <w:name w:val="表格正文 Char"/>
    <w:link w:val="af3"/>
    <w:uiPriority w:val="4"/>
    <w:qFormat/>
    <w:rPr>
      <w:rFonts w:ascii="Calibri" w:eastAsia="宋体" w:hAnsi="Calibri" w:cs="Times New Roman"/>
      <w:kern w:val="2"/>
      <w:sz w:val="21"/>
      <w:szCs w:val="21"/>
    </w:rPr>
  </w:style>
  <w:style w:type="paragraph" w:customStyle="1" w:styleId="11">
    <w:name w:val="1正文1"/>
    <w:basedOn w:val="a"/>
    <w:link w:val="11Char"/>
    <w:qFormat/>
    <w:pPr>
      <w:spacing w:line="360" w:lineRule="auto"/>
      <w:ind w:firstLineChars="200" w:firstLine="200"/>
    </w:pPr>
    <w:rPr>
      <w:rFonts w:ascii="宋体" w:eastAsia="仿宋" w:hAnsi="宋体" w:cs="Times New Roman"/>
      <w:sz w:val="28"/>
      <w:szCs w:val="20"/>
      <w:lang w:val="zh-CN"/>
    </w:rPr>
  </w:style>
  <w:style w:type="character" w:customStyle="1" w:styleId="11Char">
    <w:name w:val="1正文1 Char"/>
    <w:link w:val="11"/>
    <w:qFormat/>
    <w:rPr>
      <w:rFonts w:ascii="宋体" w:eastAsia="仿宋" w:hAnsi="宋体" w:cs="Times New Roman"/>
      <w:kern w:val="2"/>
      <w:sz w:val="28"/>
      <w:lang w:val="zh-CN" w:eastAsia="zh-CN"/>
    </w:rPr>
  </w:style>
  <w:style w:type="paragraph" w:customStyle="1" w:styleId="af4">
    <w:name w:val="表注"/>
    <w:basedOn w:val="a4"/>
    <w:link w:val="Chara"/>
    <w:qFormat/>
    <w:pPr>
      <w:keepNext/>
      <w:spacing w:beforeLines="50" w:before="50" w:line="360" w:lineRule="auto"/>
      <w:ind w:firstLine="403"/>
      <w:jc w:val="center"/>
    </w:pPr>
    <w:rPr>
      <w:rFonts w:ascii="Arial" w:hAnsi="Arial" w:cs="Arial"/>
    </w:rPr>
  </w:style>
  <w:style w:type="character" w:customStyle="1" w:styleId="Chara">
    <w:name w:val="表注 Char"/>
    <w:link w:val="af4"/>
    <w:qFormat/>
    <w:rPr>
      <w:rFonts w:ascii="Arial" w:eastAsia="黑体" w:hAnsi="Arial" w:cs="Arial"/>
      <w:kern w:val="2"/>
    </w:rPr>
  </w:style>
  <w:style w:type="paragraph" w:customStyle="1" w:styleId="af5">
    <w:name w:val="图注"/>
    <w:basedOn w:val="a"/>
    <w:link w:val="Charb"/>
    <w:qFormat/>
    <w:pPr>
      <w:widowControl/>
      <w:autoSpaceDE w:val="0"/>
      <w:autoSpaceDN w:val="0"/>
      <w:adjustRightInd w:val="0"/>
      <w:spacing w:afterLines="50" w:after="163" w:line="360" w:lineRule="auto"/>
      <w:jc w:val="center"/>
    </w:pPr>
    <w:rPr>
      <w:rFonts w:ascii="黑体" w:eastAsia="黑体" w:hAnsi="黑体" w:cs="Times New Roman"/>
      <w:kern w:val="0"/>
      <w:sz w:val="20"/>
      <w:szCs w:val="24"/>
      <w:lang w:val="zh-CN"/>
    </w:rPr>
  </w:style>
  <w:style w:type="character" w:customStyle="1" w:styleId="Charb">
    <w:name w:val="图注 Char"/>
    <w:link w:val="af5"/>
    <w:qFormat/>
    <w:rPr>
      <w:rFonts w:ascii="黑体" w:eastAsia="黑体" w:hAnsi="黑体" w:cs="Times New Roman"/>
      <w:szCs w:val="24"/>
      <w:lang w:val="zh-CN" w:eastAsia="zh-CN"/>
    </w:rPr>
  </w:style>
  <w:style w:type="paragraph" w:customStyle="1" w:styleId="af6">
    <w:name w:val="首行缩进"/>
    <w:basedOn w:val="a"/>
    <w:qFormat/>
    <w:pPr>
      <w:spacing w:line="360" w:lineRule="auto"/>
      <w:ind w:firstLineChars="200" w:firstLine="480"/>
    </w:pPr>
    <w:rPr>
      <w:rFonts w:ascii="Times New Roman" w:eastAsia="宋体" w:hAnsi="Times New Roman" w:cs="Times New Roman"/>
      <w:sz w:val="24"/>
      <w:szCs w:val="24"/>
      <w:lang w:val="zh-CN"/>
    </w:rPr>
  </w:style>
  <w:style w:type="paragraph" w:customStyle="1" w:styleId="Char2">
    <w:name w:val="Char2"/>
    <w:basedOn w:val="a"/>
    <w:qFormat/>
    <w:pPr>
      <w:numPr>
        <w:numId w:val="3"/>
      </w:numPr>
      <w:spacing w:line="360" w:lineRule="auto"/>
      <w:ind w:firstLineChars="200" w:firstLine="200"/>
    </w:pPr>
    <w:rPr>
      <w:rFonts w:ascii="Baskerville Old Face" w:eastAsia="宋体" w:hAnsi="Baskerville Old Face" w:cs="Baskerville Old Face"/>
      <w:sz w:val="24"/>
      <w:szCs w:val="24"/>
    </w:rPr>
  </w:style>
  <w:style w:type="character" w:customStyle="1" w:styleId="Charc">
    <w:name w:val="*正文 Char"/>
    <w:link w:val="af7"/>
    <w:qFormat/>
    <w:locked/>
    <w:rPr>
      <w:sz w:val="24"/>
      <w:szCs w:val="24"/>
    </w:rPr>
  </w:style>
  <w:style w:type="paragraph" w:customStyle="1" w:styleId="af7">
    <w:name w:val="*正文"/>
    <w:basedOn w:val="a"/>
    <w:link w:val="Charc"/>
    <w:qFormat/>
    <w:pPr>
      <w:spacing w:line="360" w:lineRule="auto"/>
      <w:ind w:firstLineChars="200" w:firstLine="200"/>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邱文金</cp:lastModifiedBy>
  <cp:revision>11</cp:revision>
  <dcterms:created xsi:type="dcterms:W3CDTF">2020-07-22T02:25:00Z</dcterms:created>
  <dcterms:modified xsi:type="dcterms:W3CDTF">2020-08-04T07:08:00Z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